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outlineLvl w:val="0"/>
        <w:ind w:firstLine="540"/>
        <w:jc w:val="both"/>
      </w:pPr>
      <w:r>
        <w:rPr>
          <w:sz w:val="24"/>
        </w:rPr>
      </w:r>
    </w:p>
    <w:p>
      <w:pPr>
        <w:pStyle w:val="2"/>
        <w:jc w:val="center"/>
      </w:pPr>
      <w:r>
        <w:rPr>
          <w:sz w:val="24"/>
        </w:rPr>
        <w:t xml:space="preserve">АРБИТРАЖНЫЙ СУД ЦЕНТРАЛЬНОГО ОКРУГА</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27 ноября 2025 г. по делу N А68-9338/2024</w:t>
      </w:r>
    </w:p>
    <w:p>
      <w:pPr>
        <w:pStyle w:val="0"/>
        <w:ind w:firstLine="540"/>
        <w:jc w:val="both"/>
      </w:pPr>
      <w:r>
        <w:rPr>
          <w:sz w:val="24"/>
        </w:rPr>
      </w:r>
    </w:p>
    <w:p>
      <w:pPr>
        <w:pStyle w:val="0"/>
        <w:ind w:firstLine="540"/>
        <w:jc w:val="both"/>
      </w:pPr>
      <w:r>
        <w:rPr>
          <w:sz w:val="24"/>
        </w:rPr>
        <w:t xml:space="preserve">Резолютивная часть постановления объявлена 19.11.2025</w:t>
      </w:r>
    </w:p>
    <w:p>
      <w:pPr>
        <w:pStyle w:val="0"/>
        <w:spacing w:before="240" w:lineRule="auto"/>
        <w:ind w:firstLine="540"/>
        <w:jc w:val="both"/>
      </w:pPr>
      <w:r>
        <w:rPr>
          <w:sz w:val="24"/>
        </w:rPr>
        <w:t xml:space="preserve">Постановление изготовлено в полном объеме 27.11.2025</w:t>
      </w:r>
    </w:p>
    <w:p>
      <w:pPr>
        <w:pStyle w:val="0"/>
        <w:spacing w:before="240" w:lineRule="auto"/>
        <w:ind w:firstLine="540"/>
        <w:jc w:val="both"/>
      </w:pPr>
      <w:r>
        <w:rPr>
          <w:sz w:val="24"/>
        </w:rPr>
        <w:t xml:space="preserve">Арбитражный суд Центрального округа в составе: председательствующего судьи Морозова А.П., судей Сидоровой Ю.И., Шильненковой М.В.,</w:t>
      </w:r>
    </w:p>
    <w:p>
      <w:pPr>
        <w:pStyle w:val="0"/>
        <w:spacing w:before="240" w:lineRule="auto"/>
        <w:ind w:firstLine="540"/>
        <w:jc w:val="both"/>
      </w:pPr>
      <w:r>
        <w:rPr>
          <w:sz w:val="24"/>
        </w:rPr>
        <w:t xml:space="preserve">рассмотрев в открытом судебном заседании кассационную жалобу Администрации муниципального образования Ясногорский район на </w:t>
      </w:r>
      <w:hyperlink w:history="0" r:id="rId7" w:tooltip="Решение Арбитражного суда Тульской области от 07.03.2025 по делу N А68-9338/2024 Требование: О взыскании дополнительных расходов концессионера в результате наступления особого обстоятельства в рамках концессионного соглашения в отношении объектов теплоснабжения и горячего водоснабжения. Решение: Требование удовлетворено. ------------ Утратил силу или отменен {КонсультантПлюс}">
        <w:r>
          <w:rPr>
            <w:sz w:val="24"/>
            <w:color w:val="0000ff"/>
          </w:rPr>
          <w:t xml:space="preserve">решение</w:t>
        </w:r>
      </w:hyperlink>
      <w:r>
        <w:rPr>
          <w:sz w:val="24"/>
        </w:rPr>
        <w:t xml:space="preserve"> Арбитражного суда Тульской области от 07.03.2025 и </w:t>
      </w:r>
      <w:hyperlink w:history="0" r:id="rId8" w:tooltip="Постановление Двадцатого арбитражного апелляционного суда от 04.08.2025 N 20АП-1562/2025, 20АП-1627/2025 по делу N А68-9338/2024 Требование: О взыскании дополнительных расходов по концессионному соглашению в отношении объектов теплоснабжения и горячего водоснабжения. Решение: Требование удовлетворено. ------------ Утратил силу или отменен {КонсультантПлюс}">
        <w:r>
          <w:rPr>
            <w:sz w:val="24"/>
            <w:color w:val="0000ff"/>
          </w:rPr>
          <w:t xml:space="preserve">постановление</w:t>
        </w:r>
      </w:hyperlink>
      <w:r>
        <w:rPr>
          <w:sz w:val="24"/>
        </w:rPr>
        <w:t xml:space="preserve"> Двадцатого арбитражного апелляционного суда от 04.08.2025 по делу N А68-9338/2024,</w:t>
      </w:r>
    </w:p>
    <w:p>
      <w:pPr>
        <w:pStyle w:val="0"/>
        <w:spacing w:before="240" w:lineRule="auto"/>
        <w:ind w:firstLine="540"/>
        <w:jc w:val="both"/>
      </w:pPr>
      <w:r>
        <w:rPr>
          <w:sz w:val="24"/>
        </w:rPr>
        <w:t xml:space="preserve">при участии в судебном заседании: от ООО "РГК-1" (истец) - представителя Заниной О.В. (дов. от 30.09.2024); от Муниципального образования Ясногорский район в лице Администрации МО Ясногорского района (ответчик) - представителя Говорова А.А. (дов. от 10.01.2025); от Правительства Тульской области (третье лицо) - представителя Архопова А.О. (дов. от 18.12.2024), от Министерства энергетики Тульской области (третье лицо) - представителя Подосенова А.А. (дов. от 14.10.2025), от Комитета Тульской области по тарифам (третье лицо) - представителей Подосенова А.А. (дов. от 14.10.2025) и Тарасовой В.С. (дов. от 14.10.2025),</w:t>
      </w:r>
    </w:p>
    <w:p>
      <w:pPr>
        <w:pStyle w:val="0"/>
        <w:jc w:val="center"/>
      </w:pPr>
      <w:r>
        <w:rPr>
          <w:sz w:val="24"/>
        </w:rPr>
      </w:r>
    </w:p>
    <w:p>
      <w:pPr>
        <w:pStyle w:val="0"/>
        <w:jc w:val="center"/>
      </w:pPr>
      <w:r>
        <w:rPr>
          <w:sz w:val="24"/>
        </w:rPr>
        <w:t xml:space="preserve">установил:</w:t>
      </w:r>
    </w:p>
    <w:p>
      <w:pPr>
        <w:pStyle w:val="0"/>
        <w:jc w:val="center"/>
      </w:pPr>
      <w:r>
        <w:rPr>
          <w:sz w:val="24"/>
        </w:rPr>
      </w:r>
    </w:p>
    <w:p>
      <w:pPr>
        <w:pStyle w:val="0"/>
        <w:ind w:firstLine="540"/>
        <w:jc w:val="both"/>
      </w:pPr>
      <w:r>
        <w:rPr>
          <w:sz w:val="24"/>
        </w:rPr>
        <w:t xml:space="preserve">Общество с ограниченной ответственностью "Региональная генерирующая компания N 1" (далее - ООО "РГК-1", истец, Общество) обратилось в Арбитражный суд Тульской области с исковым заявлением к муниципальному образованию Ясногорский район в лице Администрации муниципального образования Ясногорский район (далее - Администрация, ответчик)</w:t>
      </w:r>
      <w:r>
        <w:rPr>
          <w:sz w:val="24"/>
          <w:highlight w:val="yellow"/>
        </w:rPr>
        <w:t xml:space="preserve"> о взыскании дополнительных расходов концессионера в результате наступления особого обстоятельства в рамках Концессионного соглашения в отношении объектов теплоснабжения и горячего водоснабжения от 10.09.2015 в размере 15 718 349 руб.; расходов по оплате государственной пошлины в размере 101 592 руб.</w:t>
      </w:r>
    </w:p>
    <w:p>
      <w:pPr>
        <w:pStyle w:val="0"/>
        <w:spacing w:before="240" w:lineRule="auto"/>
        <w:ind w:firstLine="540"/>
        <w:jc w:val="both"/>
      </w:pPr>
      <w:r>
        <w:rPr>
          <w:sz w:val="24"/>
        </w:rPr>
        <w:t xml:space="preserve">Судом области к участию в деле в качестве третьих лиц, не заявляющих самостоятельных требований относительно предмета спора, привлечены: Тульская область в лице Правительства Тульской области, Министерство ЖКХ Тульской области (впоследствии переименовано в Министерство энергетики Тульской области), Комитет Тульской области по тарифам (далее - третьи лица).</w:t>
      </w:r>
    </w:p>
    <w:p>
      <w:pPr>
        <w:pStyle w:val="0"/>
        <w:spacing w:before="240" w:lineRule="auto"/>
        <w:ind w:firstLine="540"/>
        <w:jc w:val="both"/>
      </w:pPr>
      <w:hyperlink w:history="0" r:id="rId9" w:tooltip="Решение Арбитражного суда Тульской области от 07.03.2025 по делу N А68-9338/2024 Требование: О взыскании дополнительных расходов концессионера в результате наступления особого обстоятельства в рамках концессионного соглашения в отношении объектов теплоснабжения и горячего водоснабжения. Решение: Требование удовлетворено. ------------ Утратил силу или отменен {КонсультантПлюс}">
        <w:r>
          <w:rPr>
            <w:sz w:val="24"/>
            <w:color w:val="0000ff"/>
          </w:rPr>
          <w:t xml:space="preserve">Решением</w:t>
        </w:r>
      </w:hyperlink>
      <w:r>
        <w:rPr>
          <w:sz w:val="24"/>
        </w:rPr>
        <w:t xml:space="preserve"> Арбитражного суда Тульской области от 07.03.2025 по делу N А68-9338/2024 исковые требования удовлетворены в полном объеме, распределены судебные расходы.</w:t>
      </w:r>
    </w:p>
    <w:p>
      <w:pPr>
        <w:pStyle w:val="0"/>
        <w:spacing w:before="240" w:lineRule="auto"/>
        <w:ind w:firstLine="540"/>
        <w:jc w:val="both"/>
      </w:pPr>
      <w:r>
        <w:rPr>
          <w:sz w:val="24"/>
        </w:rPr>
        <w:t xml:space="preserve">Не согласившись с принятым судебным актом, Администрация муниципального образования Ясногорский район и Правительство Тульской области обратились с апелляционными жалобами в суд апелляционной инстанции.</w:t>
      </w:r>
    </w:p>
    <w:p>
      <w:pPr>
        <w:pStyle w:val="0"/>
        <w:spacing w:before="240" w:lineRule="auto"/>
        <w:ind w:firstLine="540"/>
        <w:jc w:val="both"/>
      </w:pPr>
      <w:hyperlink w:history="0" r:id="rId10" w:tooltip="Постановление Двадцатого арбитражного апелляционного суда от 04.08.2025 N 20АП-1562/2025, 20АП-1627/2025 по делу N А68-9338/2024 Требование: О взыскании дополнительных расходов по концессионному соглашению в отношении объектов теплоснабжения и горячего водоснабжения. Решение: Требование удовлетворено. ------------ Утратил силу или отменен {КонсультантПлюс}">
        <w:r>
          <w:rPr>
            <w:sz w:val="24"/>
            <w:color w:val="0000ff"/>
          </w:rPr>
          <w:t xml:space="preserve">Постановлением</w:t>
        </w:r>
      </w:hyperlink>
      <w:r>
        <w:rPr>
          <w:sz w:val="24"/>
        </w:rPr>
        <w:t xml:space="preserve"> Двадцатого арбитражного апелляционного суда от 04.08.2025 </w:t>
      </w:r>
      <w:hyperlink w:history="0" r:id="rId11" w:tooltip="Решение Арбитражного суда Тульской области от 07.03.2025 по делу N А68-9338/2024 Требование: О взыскании дополнительных расходов концессионера в результате наступления особого обстоятельства в рамках концессионного соглашения в отношении объектов теплоснабжения и горячего водоснабжения. Решение: Требование удовлетворено. ------------ Утратил силу или отменен {КонсультантПлюс}">
        <w:r>
          <w:rPr>
            <w:sz w:val="24"/>
            <w:color w:val="0000ff"/>
          </w:rPr>
          <w:t xml:space="preserve">решение</w:t>
        </w:r>
      </w:hyperlink>
      <w:r>
        <w:rPr>
          <w:sz w:val="24"/>
        </w:rPr>
        <w:t xml:space="preserve"> Арбитражного суда Тульской области от 07.03.2025 по настоящему делу оставлено без изменения, апелляционные жалобы - без удовлетворения.</w:t>
      </w:r>
    </w:p>
    <w:p>
      <w:pPr>
        <w:pStyle w:val="0"/>
        <w:spacing w:before="240" w:lineRule="auto"/>
        <w:ind w:firstLine="540"/>
        <w:jc w:val="both"/>
      </w:pPr>
      <w:r>
        <w:rPr>
          <w:sz w:val="24"/>
        </w:rPr>
        <w:t xml:space="preserve">Не согласившись с вынесенными по делу судебными актами, Администрация обратилась в Арбитражный суд Центрального округа с кассационной жалобой, в которой просит их отменить, и направить дело на новое рассмотрение в Арбитражный суд Тульской области.</w:t>
      </w:r>
    </w:p>
    <w:p>
      <w:pPr>
        <w:pStyle w:val="0"/>
        <w:spacing w:before="240" w:lineRule="auto"/>
        <w:ind w:firstLine="540"/>
        <w:jc w:val="both"/>
      </w:pPr>
      <w:r>
        <w:rPr>
          <w:sz w:val="24"/>
        </w:rPr>
        <w:t xml:space="preserve">В обосновании жалобы Администрация указывает на то, что судами первой и апелляционной инстанций дана ненадлежащая оценка фактическим обстоятельствам дела, а также допущены нарушения норм материального и процессуального права.</w:t>
      </w:r>
    </w:p>
    <w:p>
      <w:pPr>
        <w:pStyle w:val="0"/>
        <w:spacing w:before="240" w:lineRule="auto"/>
        <w:ind w:firstLine="540"/>
        <w:jc w:val="both"/>
      </w:pPr>
      <w:r>
        <w:rPr>
          <w:sz w:val="24"/>
        </w:rPr>
        <w:t xml:space="preserve">По мнению Администрации, истец не доказал наличие наступления особых обстоятельств в рамках Концессионного соглашения, позволяющих концессионеру требовать возмещения своих расходов с концедента. Обстоятельства, на которые ссылается истец в обосновании своих требований, возникли до подписания сторонами Дополнительного соглашения от 01.06.2017 N 1 к Концессионному соглашению.</w:t>
      </w:r>
    </w:p>
    <w:p>
      <w:pPr>
        <w:pStyle w:val="0"/>
        <w:spacing w:before="240" w:lineRule="auto"/>
        <w:ind w:firstLine="540"/>
        <w:jc w:val="both"/>
      </w:pPr>
      <w:r>
        <w:rPr>
          <w:sz w:val="24"/>
        </w:rPr>
        <w:t xml:space="preserve">Как указывает Администрация, расходы истца по погашению своих кредитных обязательств перед Банком, являются предпринимательскими рисками самого концессионера и не должны быть отнесены на ответчика.</w:t>
      </w:r>
    </w:p>
    <w:p>
      <w:pPr>
        <w:pStyle w:val="0"/>
        <w:spacing w:before="240" w:lineRule="auto"/>
        <w:ind w:firstLine="540"/>
        <w:jc w:val="both"/>
      </w:pPr>
      <w:r>
        <w:rPr>
          <w:sz w:val="24"/>
        </w:rPr>
        <w:t xml:space="preserve">Подробно доводы отражены в кассационной жалобе.</w:t>
      </w:r>
    </w:p>
    <w:p>
      <w:pPr>
        <w:pStyle w:val="0"/>
        <w:spacing w:before="240" w:lineRule="auto"/>
        <w:ind w:firstLine="540"/>
        <w:jc w:val="both"/>
      </w:pPr>
      <w:r>
        <w:rPr>
          <w:sz w:val="24"/>
        </w:rPr>
        <w:t xml:space="preserve">Истец представил отзыв на кассационную жалобу, просил обжалуемые судебные акты оставить без изменения, а кассационную жалобу без удовлетворения.</w:t>
      </w:r>
    </w:p>
    <w:p>
      <w:pPr>
        <w:pStyle w:val="0"/>
        <w:spacing w:before="240" w:lineRule="auto"/>
        <w:ind w:firstLine="540"/>
        <w:jc w:val="both"/>
      </w:pPr>
      <w:r>
        <w:rPr>
          <w:sz w:val="24"/>
        </w:rPr>
        <w:t xml:space="preserve">От третьих лиц (Правительство Тульской области, Министерство энергетики Тульской области, Комитет Тульской области по тарифам) поступили отзывы на кассационную жалобу, просят обжалуемые судебные акты отменить, в удовлетворении исковых требований отказать.</w:t>
      </w:r>
    </w:p>
    <w:p>
      <w:pPr>
        <w:pStyle w:val="0"/>
        <w:spacing w:before="240" w:lineRule="auto"/>
        <w:ind w:firstLine="540"/>
        <w:jc w:val="both"/>
      </w:pPr>
      <w:r>
        <w:rPr>
          <w:sz w:val="24"/>
        </w:rPr>
        <w:t xml:space="preserve">Определением суда округа от 15.10.2025 судебное заседание по рассмотрению кассационной жалобы было отложено на 19.11.2025 на 15 ч. 30 мин.</w:t>
      </w:r>
    </w:p>
    <w:p>
      <w:pPr>
        <w:pStyle w:val="0"/>
        <w:spacing w:before="240" w:lineRule="auto"/>
        <w:ind w:firstLine="540"/>
        <w:jc w:val="both"/>
      </w:pPr>
      <w:r>
        <w:rPr>
          <w:sz w:val="24"/>
        </w:rPr>
        <w:t xml:space="preserve">От истца, ответчика и третьих лиц (Министерство энергетики Тульской области, Комитет Тульской области по тарифам) поступили дополнительные пояснения.</w:t>
      </w:r>
    </w:p>
    <w:p>
      <w:pPr>
        <w:pStyle w:val="0"/>
        <w:spacing w:before="240" w:lineRule="auto"/>
        <w:ind w:firstLine="540"/>
        <w:jc w:val="both"/>
      </w:pPr>
      <w:r>
        <w:rPr>
          <w:sz w:val="24"/>
        </w:rPr>
        <w:t xml:space="preserve">В судебном заседании представитель Администрации поддержал доводы кассационной жалобы.</w:t>
      </w:r>
    </w:p>
    <w:p>
      <w:pPr>
        <w:pStyle w:val="0"/>
        <w:spacing w:before="240" w:lineRule="auto"/>
        <w:ind w:firstLine="540"/>
        <w:jc w:val="both"/>
      </w:pPr>
      <w:r>
        <w:rPr>
          <w:sz w:val="24"/>
        </w:rPr>
        <w:t xml:space="preserve">Представитель Общества в судебном заседании возражала против доводов кассационной жалобы по основаниям, указанным в отзыве.</w:t>
      </w:r>
    </w:p>
    <w:p>
      <w:pPr>
        <w:pStyle w:val="0"/>
        <w:spacing w:before="240" w:lineRule="auto"/>
        <w:ind w:firstLine="540"/>
        <w:jc w:val="both"/>
      </w:pPr>
      <w:r>
        <w:rPr>
          <w:sz w:val="24"/>
        </w:rPr>
        <w:t xml:space="preserve">Представители третьих лиц (Правительство Тульской области, Министерство энергетики Тульской области, Комитет Тульской области по тарифам) в судебном заседании поддержали доводы кассационной жалобы, просили отменить обжалуемые судебные акты.</w:t>
      </w:r>
    </w:p>
    <w:p>
      <w:pPr>
        <w:pStyle w:val="0"/>
        <w:spacing w:before="240" w:lineRule="auto"/>
        <w:ind w:firstLine="540"/>
        <w:jc w:val="both"/>
      </w:pPr>
      <w:r>
        <w:rPr>
          <w:sz w:val="24"/>
        </w:rPr>
        <w:t xml:space="preserve">Проверив в порядке, установленном </w:t>
      </w:r>
      <w:hyperlink w:history="0" r:id="rId12" w:tooltip="&quot;Арбитражный процессуальный кодекс Российской Федерации&quot; от 24.07.2002 N 95-ФЗ (ред. от 01.04.2025) {КонсультантПлюс}">
        <w:r>
          <w:rPr>
            <w:sz w:val="24"/>
            <w:color w:val="0000ff"/>
          </w:rPr>
          <w:t xml:space="preserve">главой 35</w:t>
        </w:r>
      </w:hyperlink>
      <w:r>
        <w:rPr>
          <w:sz w:val="24"/>
        </w:rPr>
        <w:t xml:space="preserve"> АПК РФ, законность обжалуемых судебных актов в пределах доводов кассационной жалобы и возражения на нее, выслушав в судебном заседании пояснения представителей лиц, участвующих в деле, судебная коллегия приходит к выводу о наличии оснований для их отмены исходя из следующего.</w:t>
      </w:r>
    </w:p>
    <w:p>
      <w:pPr>
        <w:pStyle w:val="0"/>
        <w:spacing w:before="240" w:lineRule="auto"/>
        <w:ind w:firstLine="540"/>
        <w:jc w:val="both"/>
      </w:pPr>
      <w:r>
        <w:rPr>
          <w:sz w:val="24"/>
        </w:rPr>
        <w:t xml:space="preserve">Как следует из материалов дела и установлено судами, между МО Ясногорский район в лице администрации МО Ясногорский район (концедентом) и ЗАО "РГК-1" (впоследствии изменено на АО "РГК-1", а далее на ООО "РГК-1") (концессионер) было заключено Концессионное соглашение в отношении объектов теплоснабжения и горячего водоснабжения от 10.09.2015 (далее - Концессионное соглашение).</w:t>
      </w:r>
    </w:p>
    <w:p>
      <w:pPr>
        <w:pStyle w:val="0"/>
        <w:spacing w:before="240" w:lineRule="auto"/>
        <w:ind w:firstLine="540"/>
        <w:jc w:val="both"/>
      </w:pPr>
      <w:r>
        <w:rPr>
          <w:sz w:val="24"/>
        </w:rPr>
        <w:t xml:space="preserve">01.06.2017 концедентом, АО "РГК-1" с привлечением третьей стороны по концессионному соглашению - Тульской области заключено Дополнительное соглашение N 1 от 01.06.2017 к Концессионному соглашению (далее - Дополнительное соглашение N 1).</w:t>
      </w:r>
    </w:p>
    <w:p>
      <w:pPr>
        <w:pStyle w:val="0"/>
        <w:spacing w:before="240" w:lineRule="auto"/>
        <w:ind w:firstLine="540"/>
        <w:jc w:val="both"/>
      </w:pPr>
      <w:r>
        <w:rPr>
          <w:sz w:val="24"/>
        </w:rPr>
        <w:t xml:space="preserve">07.10.2020 концедентом, АО "РГК-1" и Тульской областью, заключено Дополнительное соглашение N 2 от 07.10.2020 к Концессионному соглашению (далее - Дополнительное соглашение N 2).</w:t>
      </w:r>
    </w:p>
    <w:p>
      <w:pPr>
        <w:pStyle w:val="0"/>
        <w:spacing w:before="240" w:lineRule="auto"/>
        <w:ind w:firstLine="540"/>
        <w:jc w:val="both"/>
      </w:pPr>
      <w:r>
        <w:rPr>
          <w:sz w:val="24"/>
        </w:rPr>
        <w:t xml:space="preserve">В рамках реализации Концессионного соглашения, заключено Соглашение от 01.06.2017 между концедентом, Тульской областью и ПАО "Сбербанк" (далее - прямое соглашение) и дополнительное соглашение к нему от 12.01.2021 N ДС/12.</w:t>
      </w:r>
    </w:p>
    <w:p>
      <w:pPr>
        <w:pStyle w:val="0"/>
        <w:spacing w:before="240" w:lineRule="auto"/>
        <w:ind w:firstLine="540"/>
        <w:jc w:val="both"/>
      </w:pPr>
      <w:r>
        <w:rPr>
          <w:sz w:val="24"/>
        </w:rPr>
        <w:t xml:space="preserve">Между ПАО "Сбербанк" и АО "РГК-1" (концессионер) был заключен Договор об открытии невозобновляемой кредитной линии N 02980020/86042200 от 12.01.2021 (далее - Кредитный договор), с учетом дополнительного соглашения от 25.01.2021 N 1, дополнительного соглашения от 25.03.2022 к нему.</w:t>
      </w:r>
    </w:p>
    <w:p>
      <w:pPr>
        <w:pStyle w:val="0"/>
        <w:spacing w:before="240" w:lineRule="auto"/>
        <w:ind w:firstLine="540"/>
        <w:jc w:val="both"/>
      </w:pPr>
      <w:r>
        <w:rPr>
          <w:sz w:val="24"/>
        </w:rPr>
        <w:t xml:space="preserve">Также между концессионером и единственным акционером концессионера Кравченко Константином Константиновичем заключен Договор денежного займа от 13.08.2020 N 1 (далее - Договор инвестиционного займа).</w:t>
      </w:r>
    </w:p>
    <w:p>
      <w:pPr>
        <w:pStyle w:val="0"/>
        <w:spacing w:before="240" w:lineRule="auto"/>
        <w:ind w:firstLine="540"/>
        <w:jc w:val="both"/>
      </w:pPr>
      <w:r>
        <w:rPr>
          <w:sz w:val="24"/>
        </w:rPr>
        <w:t xml:space="preserve">Как указывает истец, после заключения Концессионного соглашения, </w:t>
      </w:r>
      <w:hyperlink w:history="0" r:id="rId13" w:tooltip="Постановление Правительства РФ от 24.01.2017 N 54 &quot;О внесении изменений в некоторые акты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Российской Федерации от 24.01.2017 N 54 "О внесении изменений в некоторые акты Правительства Российской Федерации" были внесены изменения в </w:t>
      </w:r>
      <w:hyperlink w:history="0" r:id="rId14" w:tooltip="Постановление Правительства РФ от 22.10.2012 N 1075 (ред. от 17.12.2024) &quot;О ценообразовании в сфере теплоснабжения&quot; (вместе с &quot;Основами ценообразования в сфере теплоснабжения&quot;, &quot;Правилами регулирования цен (тарифов) в сфере теплоснабжения&quot;, &quot;Правилами установления долгосрочных параметров регулирования деятельности организаций в отнесенной законодательством Российской Федерации к сферам деятельности субъектов естественных монополий сфере теплоснабжения и (или) цен (тарифов) в сфере теплоснабжения, которые по ------------ Недействующая редакция {КонсультантПлюс}">
        <w:r>
          <w:rPr>
            <w:sz w:val="24"/>
            <w:color w:val="0000ff"/>
          </w:rPr>
          <w:t xml:space="preserve">постановление</w:t>
        </w:r>
      </w:hyperlink>
      <w:r>
        <w:rPr>
          <w:sz w:val="24"/>
        </w:rPr>
        <w:t xml:space="preserve"> Правительства Российской Федерации от 22.10.2012 N 1075 "О ценообразовании в сфере теплоснабжения", вступившие в действие с 07.02.2017, в силу которых расходы на погашение и обслуживание заемных средств, привлекаемых на реализацию мероприятий инвестиционной программы, подлежат включению в величину нормативной прибыли регулируемой организации в размере фактически понесенных расходов, не превышающем величину, равную ставке рефинансирования Центрального банка Российской Федерации, увеличенной на 4 процентных пункта. Но при этом величина нормативного уровня прибыли относится к долгосрочным параметрам регулирования деятельности концессионера, являющимся существенным условием концессионного соглашения, согласованным сторонами и подлежащим изменению лишь при соблюдении установленных законом условий и при соблюдении регламентированной процедуры.</w:t>
      </w:r>
    </w:p>
    <w:p>
      <w:pPr>
        <w:pStyle w:val="0"/>
        <w:spacing w:before="240" w:lineRule="auto"/>
        <w:ind w:firstLine="540"/>
        <w:jc w:val="both"/>
      </w:pPr>
      <w:r>
        <w:rPr>
          <w:sz w:val="24"/>
        </w:rPr>
        <w:t xml:space="preserve">В подобном случае органы тарифного регулирования не вправе без изменения концессионного соглашения в части пересмотра сторонами нормативного уровня прибыли как долгосрочного параметра регулирования деятельности концессионера с соблюдением процедуры при утверждении тарифов включать в состав необходимой валовой выручки фактически понесенные концессионером расходы на погашение и обслуживание заемных средств в размере фактически понесенных расходов (но не более размера величины, равной ставке рефинансирования Центрального банка Российской Федерации, увеличенной на 4 процентных пункта) в случае, если этот размер превышает размер, учтенный в нормативном уровне прибыли.</w:t>
      </w:r>
    </w:p>
    <w:p>
      <w:pPr>
        <w:pStyle w:val="0"/>
        <w:spacing w:before="240" w:lineRule="auto"/>
        <w:ind w:firstLine="540"/>
        <w:jc w:val="both"/>
      </w:pPr>
      <w:r>
        <w:rPr>
          <w:sz w:val="24"/>
        </w:rPr>
        <w:t xml:space="preserve">Как указал истец, в целях закрепления гарантий прав концессионера, после вступления в силу вышеуказанных поправок в правила регулирования тарифов, при заключении Дополнительного соглашения N 1, в том числе в части возможности получения концессионером компенсации в случае, если понесенные им расходы на погашение и обслуживание заемных средств превысят расходы, указанные в Концессионном соглашении в составе нормативного уровня прибыли, являющегося долгосрочным параметром регулирования деятельности концессионера, что не позволит Комитету Тульской области по тарифу их учесть при утверждении тарифов, стороны согласовали один из случаев наступления особого обстоятельства.</w:t>
      </w:r>
    </w:p>
    <w:p>
      <w:pPr>
        <w:pStyle w:val="0"/>
        <w:spacing w:before="240" w:lineRule="auto"/>
        <w:ind w:firstLine="540"/>
        <w:jc w:val="both"/>
      </w:pPr>
      <w:r>
        <w:rPr>
          <w:sz w:val="24"/>
        </w:rPr>
        <w:t xml:space="preserve">В соответствии с подп. (с) п. 16.4 Концессионного соглашения (в редакции Дополнительного соглашения N 1) к особому обстоятельству, не относящемуся ни к одной из сторон, относится, в т.ч., изменение предусмотренных применимым правом на дату заключения концессионного соглашения правил учета при установлении тарифов процентов, уплачиваемых концессионером по соглашениям о финансировании и соглашениям о предоставлении акционерных займов, если в результате такого изменения размер расходов на уплату процентов, которые не могут быть учтены органом регулирования при установлении тарифов на очередной расчетный период регулирования, превысил 10 000 000 (десять миллионов) рублей.</w:t>
      </w:r>
    </w:p>
    <w:p>
      <w:pPr>
        <w:pStyle w:val="0"/>
        <w:spacing w:before="240" w:lineRule="auto"/>
        <w:ind w:firstLine="540"/>
        <w:jc w:val="both"/>
      </w:pPr>
      <w:r>
        <w:rPr>
          <w:sz w:val="24"/>
        </w:rPr>
        <w:t xml:space="preserve">В соответствии с приложением N 1 к Концессионному соглашению (в редакции Дополнительного соглашения N 1) дата заключения Концессионного соглашения означает дату, в которую концессионное соглашение было подписано полномочными представителями сторон.</w:t>
      </w:r>
    </w:p>
    <w:p>
      <w:pPr>
        <w:pStyle w:val="0"/>
        <w:spacing w:before="240" w:lineRule="auto"/>
        <w:ind w:firstLine="540"/>
        <w:jc w:val="both"/>
      </w:pPr>
      <w:r>
        <w:rPr>
          <w:sz w:val="24"/>
        </w:rPr>
        <w:t xml:space="preserve">В соответствии с преамбулой Дополнительного соглашения N 1 концессионным соглашением признается концессионное соглашение в отношении объектов теплоснабжения и горячего водоснабжения, заключенное 10 сентября 2015 года между МО Ясногорский район и АО "РГК-1".</w:t>
      </w:r>
    </w:p>
    <w:p>
      <w:pPr>
        <w:pStyle w:val="0"/>
        <w:spacing w:before="240" w:lineRule="auto"/>
        <w:ind w:firstLine="540"/>
        <w:jc w:val="both"/>
      </w:pPr>
      <w:r>
        <w:rPr>
          <w:sz w:val="24"/>
          <w:highlight w:val="yellow"/>
        </w:rPr>
        <w:t xml:space="preserve">В целях предотвращения разночтений в дальнейшем, при заключении Дополнительного соглашения N 1 стороны закрепили формулировку дата заключения концессионного соглашения, которой признается дата 10.09.2015 г.</w:t>
      </w:r>
    </w:p>
    <w:p>
      <w:pPr>
        <w:pStyle w:val="0"/>
        <w:spacing w:before="240" w:lineRule="auto"/>
        <w:ind w:firstLine="540"/>
        <w:jc w:val="both"/>
      </w:pPr>
      <w:r>
        <w:rPr>
          <w:sz w:val="24"/>
          <w:highlight w:val="yellow"/>
        </w:rPr>
        <w:t xml:space="preserve">В целях закрепления гарантий концессионера в части права на получение компенсационных выплат при вынужденном несении расходов в процессе исполнения Концессионного соглашения в случае в т.ч. изменения нормативного права, в случае, если концессионер лишится того, на что был вправе рассчитывать при заключении концессионного соглашения и подобное, стороны в п. 16.4 Концессионного соглашения (в актуальной редакции) к особым обстоятельствам</w:t>
      </w:r>
      <w:r>
        <w:rPr>
          <w:sz w:val="24"/>
        </w:rPr>
        <w:t xml:space="preserve">, не относящимся ни к одной из Сторон, отнесли, в том числе:</w:t>
      </w:r>
    </w:p>
    <w:p>
      <w:pPr>
        <w:pStyle w:val="0"/>
        <w:spacing w:before="240" w:lineRule="auto"/>
        <w:ind w:firstLine="540"/>
        <w:jc w:val="both"/>
      </w:pPr>
      <w:r>
        <w:rPr>
          <w:sz w:val="24"/>
        </w:rPr>
        <w:t xml:space="preserve">п. (f) - изменение применимого права, включая нормативные правовые акты в сфере тарифообразования, ухудшающее положение концессионера таким образом, что он в значительной степени лишается того, на что был вправе рассчитывать при заключении концессионного соглашения, включая отмену предусмотренного концессионным соглашением метода регулирования тарифов для концессионера;</w:t>
      </w:r>
    </w:p>
    <w:p>
      <w:pPr>
        <w:pStyle w:val="0"/>
        <w:spacing w:before="240" w:lineRule="auto"/>
        <w:ind w:firstLine="540"/>
        <w:jc w:val="both"/>
      </w:pPr>
      <w:r>
        <w:rPr>
          <w:sz w:val="24"/>
        </w:rPr>
        <w:t xml:space="preserve">п. (g) - вступление в силу нормативных правовых актов, в связи с которыми концессионер или концедент оказываются неспособными выполнить принятые на себя обязательства.</w:t>
      </w:r>
    </w:p>
    <w:p>
      <w:pPr>
        <w:pStyle w:val="0"/>
        <w:spacing w:before="240" w:lineRule="auto"/>
        <w:ind w:firstLine="540"/>
        <w:jc w:val="both"/>
      </w:pPr>
      <w:r>
        <w:rPr>
          <w:sz w:val="24"/>
        </w:rPr>
        <w:t xml:space="preserve">Также истец указал и на то, что предварительно, перед заключением Кредитного договора концессионером и ПАО "Сбербанк", а также перед заключением дополнительного соглашения от 25.01.2021 N 1 и дополнительного соглашения от 25.03.2022 к нему, все условия согласованы концедентом и Тульской областью.</w:t>
      </w:r>
    </w:p>
    <w:p>
      <w:pPr>
        <w:pStyle w:val="0"/>
        <w:spacing w:before="240" w:lineRule="auto"/>
        <w:ind w:firstLine="540"/>
        <w:jc w:val="both"/>
      </w:pPr>
      <w:r>
        <w:rPr>
          <w:sz w:val="24"/>
        </w:rPr>
        <w:t xml:space="preserve">В соответствии с п. 4.1.1 Кредитного договора (в актуальной редакции) расчет процентов осуществляется с учетом плавающей ставки, приравненной к ключевой ставке ЦБ РФ.</w:t>
      </w:r>
    </w:p>
    <w:p>
      <w:pPr>
        <w:pStyle w:val="0"/>
        <w:spacing w:before="240" w:lineRule="auto"/>
        <w:ind w:firstLine="540"/>
        <w:jc w:val="both"/>
      </w:pPr>
      <w:r>
        <w:rPr>
          <w:sz w:val="24"/>
        </w:rPr>
        <w:t xml:space="preserve">В соответствии с п. 7.1.1 Кредитного договора (в актуальной редакции) ПАО "Сбербанк" вправе в одностороннем порядке по своему усмотрению производить увеличение специальной процентной ставки по договору и/или базовой процентной ставки по договору, в том числе, но не исключительно, в связи с принятием Банком России решений по увеличению ключевой ставки.</w:t>
      </w:r>
    </w:p>
    <w:p>
      <w:pPr>
        <w:pStyle w:val="0"/>
        <w:spacing w:before="240" w:lineRule="auto"/>
        <w:ind w:firstLine="540"/>
        <w:jc w:val="both"/>
      </w:pPr>
      <w:r>
        <w:rPr>
          <w:sz w:val="24"/>
        </w:rPr>
        <w:t xml:space="preserve">Предварительно, перед заключением Договора инвестиционного займа концессионером и Кравченко Константином Константиновичем, все условия согласованы концедентом и Тульской областью.</w:t>
      </w:r>
    </w:p>
    <w:p>
      <w:pPr>
        <w:pStyle w:val="0"/>
        <w:spacing w:before="240" w:lineRule="auto"/>
        <w:ind w:firstLine="540"/>
        <w:jc w:val="both"/>
      </w:pPr>
      <w:r>
        <w:rPr>
          <w:sz w:val="24"/>
        </w:rPr>
        <w:t xml:space="preserve">В соответствии с п. 2.1 Договора инвестиционного займа за пользование займом заемщик выплачивает заимодавцу проценты на сумму займа в размере равном ключевой ставке Центрального банка Российской Федерации, действующей на дату предоставления суммы займа (в случае ее предоставления заимодавцем единовременно и в полном объеме) либо на дату предоставления каждой части суммы займа (в случае) предоставления заимодавцем суммы займа путем перечисления периодических частичных платежей вплоть до полного перечисления суммы займа), увеличенной на 4 процентных пункта, годовых.</w:t>
      </w:r>
    </w:p>
    <w:p>
      <w:pPr>
        <w:pStyle w:val="0"/>
        <w:spacing w:before="240" w:lineRule="auto"/>
        <w:ind w:firstLine="540"/>
        <w:jc w:val="both"/>
      </w:pPr>
      <w:r>
        <w:rPr>
          <w:sz w:val="24"/>
        </w:rPr>
        <w:t xml:space="preserve">Истец указал, что за период 2022 - 2023 годы в отношении концессионера начислены проценты за пользование привлеченными в целях исполнения обязательств по Концессионному соглашению и инвестиционной программе, денежными средствами по Кредитному договору и Договору инвестиционного займа, подлежащие оплате в пользу ПАО "Сбербанк" и Кравченко Константина Константиновича соответственно, а именно, 20 690 631,68 рублей - за 2022 год; 17 236 044,66 рублей - за 2023 год.</w:t>
      </w:r>
    </w:p>
    <w:p>
      <w:pPr>
        <w:pStyle w:val="0"/>
        <w:spacing w:before="240" w:lineRule="auto"/>
        <w:ind w:firstLine="540"/>
        <w:jc w:val="both"/>
      </w:pPr>
      <w:r>
        <w:rPr>
          <w:sz w:val="24"/>
        </w:rPr>
        <w:t xml:space="preserve">Размер дополнительных расходов на уплату процентов, которые не могли быть учтены комитетом Тульской области по тарифам при установлении тарифов на расчетные периоды 2022 год и 2023 год, и которые понес и должен понести концессионер в результате наступления особого обстоятельства, составляет 15 718 349 рублей.</w:t>
      </w:r>
    </w:p>
    <w:p>
      <w:pPr>
        <w:pStyle w:val="0"/>
        <w:spacing w:before="240" w:lineRule="auto"/>
        <w:ind w:firstLine="540"/>
        <w:jc w:val="both"/>
      </w:pPr>
      <w:r>
        <w:rPr>
          <w:sz w:val="24"/>
        </w:rPr>
        <w:t xml:space="preserve">В соответствии с п. 16.7 Концессионного соглашения (в актуальной редакции) если наступление особого обстоятельства, прямо повлекло или повлечет расходы концессионера, то концедент обязан возместить концессионеру понесенные им дополнительные расходы.</w:t>
      </w:r>
    </w:p>
    <w:p>
      <w:pPr>
        <w:pStyle w:val="0"/>
        <w:spacing w:before="240" w:lineRule="auto"/>
        <w:ind w:firstLine="540"/>
        <w:jc w:val="both"/>
      </w:pPr>
      <w:r>
        <w:rPr>
          <w:sz w:val="24"/>
          <w:highlight w:val="yellow"/>
        </w:rPr>
        <w:t xml:space="preserve">В соответствии с п. 16.9 Концессионного соглашения (в актуальной редакции) в целях урегулирования ситуации и возмещения концедентом дополнительных расходов в результате наступления особого обстоятельства концессионер обращался в адрес концедента и Тульской области с уведомлениями об особом обстоятельстве, содержащими расчет к уведомлению об особом обстоятельстве, исх. от 01.03.2022 154 и исх. от 12.02.2024.</w:t>
      </w:r>
    </w:p>
    <w:p>
      <w:pPr>
        <w:pStyle w:val="0"/>
        <w:spacing w:before="240" w:lineRule="auto"/>
        <w:ind w:firstLine="540"/>
        <w:jc w:val="both"/>
      </w:pPr>
      <w:r>
        <w:rPr>
          <w:sz w:val="24"/>
          <w:highlight w:val="yellow"/>
        </w:rPr>
        <w:t xml:space="preserve">Принимая во внимание наступление особого обстоятельства в рамках Концессионного соглашения в отношении объектов теплоснабжения и горячего водоснабжения от 10.09.2015 (в редакции дополнительного соглашения от 01.06.2017), а также отсутствие компенсации со стороны концедента, истец обратился в арбитражный суд с настоящим исковым заявлением о взыскании с концедента дополнительных расходов концессионера в размере 15 718 349 руб.</w:t>
      </w:r>
    </w:p>
    <w:p>
      <w:pPr>
        <w:pStyle w:val="0"/>
        <w:spacing w:before="240" w:lineRule="auto"/>
        <w:ind w:firstLine="540"/>
        <w:jc w:val="both"/>
      </w:pPr>
      <w:r>
        <w:rPr>
          <w:sz w:val="24"/>
        </w:rPr>
        <w:t xml:space="preserve">Рассматривая спор по существу, руководствуясь </w:t>
      </w:r>
      <w:hyperlink w:history="0" r:id="rId15" w:tooltip="&quot;Гражданский кодекс Российской Федерации (часть первая)&quot; от 30.11.1994 N 51-ФЗ (ред. от 08.08.2024, с изм. от 31.10.2024) ------------ Недействующая редакция {КонсультантПлюс}">
        <w:r>
          <w:rPr>
            <w:sz w:val="24"/>
            <w:color w:val="0000ff"/>
          </w:rPr>
          <w:t xml:space="preserve">статьями 309</w:t>
        </w:r>
      </w:hyperlink>
      <w:r>
        <w:rPr>
          <w:sz w:val="24"/>
        </w:rPr>
        <w:t xml:space="preserve">, </w:t>
      </w:r>
      <w:hyperlink w:history="0" r:id="rId16" w:tooltip="&quot;Гражданский кодекс Российской Федерации (часть первая)&quot; от 30.11.1994 N 51-ФЗ (ред. от 08.08.2024, с изм. от 31.10.2024) ------------ Недействующая редакция {КонсультантПлюс}">
        <w:r>
          <w:rPr>
            <w:sz w:val="24"/>
            <w:color w:val="0000ff"/>
          </w:rPr>
          <w:t xml:space="preserve">310</w:t>
        </w:r>
      </w:hyperlink>
      <w:r>
        <w:rPr>
          <w:sz w:val="24"/>
        </w:rPr>
        <w:t xml:space="preserve"> ГК РФ, положениями Федерального </w:t>
      </w:r>
      <w:hyperlink w:history="0" r:id="rId17" w:tooltip="Федеральный закон от 21.07.2005 N 115-ФЗ (ред. от 30.11.2024) &quot;О концессионных соглашениях&quot; ------------ Недействующая редакция {КонсультантПлюс}">
        <w:r>
          <w:rPr>
            <w:sz w:val="24"/>
            <w:color w:val="0000ff"/>
          </w:rPr>
          <w:t xml:space="preserve">закона</w:t>
        </w:r>
      </w:hyperlink>
      <w:r>
        <w:rPr>
          <w:sz w:val="24"/>
        </w:rPr>
        <w:t xml:space="preserve"> от 21.07.2005 N 115-ФЗ "О концессионных соглашениях" (далее - Закон N 115-ФЗ), Федерального </w:t>
      </w:r>
      <w:hyperlink w:history="0" r:id="rId18" w:tooltip="Федеральный закон от 27.07.2010 N 190-ФЗ (ред. от 08.08.2024) &quot;О теплоснабжении&quot; (с изм. и доп., вступ. в силу с 01.03.2025) {КонсультантПлюс}">
        <w:r>
          <w:rPr>
            <w:sz w:val="24"/>
            <w:color w:val="0000ff"/>
          </w:rPr>
          <w:t xml:space="preserve">закона</w:t>
        </w:r>
      </w:hyperlink>
      <w:r>
        <w:rPr>
          <w:sz w:val="24"/>
        </w:rPr>
        <w:t xml:space="preserve"> от 27.07.2010 N 190-ФЗ "О теплоснабжении" (далее - Закон N 190-ФЗ), </w:t>
      </w:r>
      <w:hyperlink w:history="0" r:id="rId19" w:tooltip="Постановление Правительства РФ от 22.10.2012 N 1075 (ред. от 17.12.2024) &quot;О ценообразовании в сфере теплоснабжения&quot; (вместе с &quot;Основами ценообразования в сфере теплоснабжения&quot;, &quot;Правилами регулирования цен (тарифов) в сфере теплоснабжения&quot;, &quot;Правилами установления долгосрочных параметров регулирования деятельности организаций в отнесенной законодательством Российской Федерации к сферам деятельности субъектов естественных монополий сфере теплоснабжения и (или) цен (тарифов) в сфере теплоснабжения, которые по ------------ Недействующая редакция {КонсультантПлюс}">
        <w:r>
          <w:rPr>
            <w:sz w:val="24"/>
            <w:color w:val="0000ff"/>
          </w:rPr>
          <w:t xml:space="preserve">Постановления</w:t>
        </w:r>
      </w:hyperlink>
      <w:r>
        <w:rPr>
          <w:sz w:val="24"/>
        </w:rPr>
        <w:t xml:space="preserve"> Правительства Российской Федерации от 22.10.2012 N 1075 "О ценообразовании в сфере теплоснабжения", которым в том числе утверждены </w:t>
      </w:r>
      <w:hyperlink w:history="0" r:id="rId20" w:tooltip="Постановление Правительства РФ от 22.10.2012 N 1075 (ред. от 17.12.2024) &quot;О ценообразовании в сфере теплоснабжения&quot; (вместе с &quot;Основами ценообразования в сфере теплоснабжения&quot;, &quot;Правилами регулирования цен (тарифов) в сфере теплоснабжения&quot;, &quot;Правилами установления долгосрочных параметров регулирования деятельности организаций в отнесенной законодательством Российской Федерации к сферам деятельности субъектов естественных монополий сфере теплоснабжения и (или) цен (тарифов) в сфере теплоснабжения, которые по ------------ Недействующая редакция {КонсультантПлюс}">
        <w:r>
          <w:rPr>
            <w:sz w:val="24"/>
            <w:color w:val="0000ff"/>
          </w:rPr>
          <w:t xml:space="preserve">Основы</w:t>
        </w:r>
      </w:hyperlink>
      <w:r>
        <w:rPr>
          <w:sz w:val="24"/>
        </w:rPr>
        <w:t xml:space="preserve"> ценообразования в сфере теплоснабжения (далее - Основы ценообразования, Основы), Правил регулирования цен (тарифов) в сфере теплоснабжения, Методических </w:t>
      </w:r>
      <w:hyperlink w:history="0" r:id="rId21" w:tooltip="Приказ ФСТ России от 13.06.2013 N 760-э (ред. от 29.01.2025) &quot;Об утверждении Методических указаний по расчету регулируемых цен (тарифов) в сфере теплоснабжения&quot; (Зарегистрировано в Минюсте России 16.07.2013 N 29078) {КонсультантПлюс}">
        <w:r>
          <w:rPr>
            <w:sz w:val="24"/>
            <w:color w:val="0000ff"/>
          </w:rPr>
          <w:t xml:space="preserve">указаний</w:t>
        </w:r>
      </w:hyperlink>
      <w:r>
        <w:rPr>
          <w:sz w:val="24"/>
        </w:rPr>
        <w:t xml:space="preserve"> по расчету регулируемых цен (тарифов) в сфере теплоснабжения, утвержденных Приказом ФСТ России от 13.06.2013 N 760-э, оценив и исследовав представленные в материалы дела доказательства, указав на возникновение особых обстоятельств, при наличии которых у истца возникли дополнительные расходы по погашению и обслуживанию заемных денежных средств, проверив расчеты истца и признав их арифметически верными, суды первой и апелляционной инстанций пришли к выводу о наличии правовых оснований для удовлетворения исковых требований в заявленном размере.</w:t>
      </w:r>
    </w:p>
    <w:p>
      <w:pPr>
        <w:pStyle w:val="0"/>
        <w:spacing w:before="240" w:lineRule="auto"/>
        <w:ind w:firstLine="540"/>
        <w:jc w:val="both"/>
      </w:pPr>
      <w:r>
        <w:rPr>
          <w:sz w:val="24"/>
        </w:rPr>
        <w:t xml:space="preserve">Суд кассационной инстанции считает, что выводы арбитражных судов первой и апелляционной инстанции, положенные в основание принятых судебных актов, сделаны без учета требований закона и оценки ряда обстоятельств, имеющих существенное значение для правильного разрешения спора.</w:t>
      </w:r>
    </w:p>
    <w:p>
      <w:pPr>
        <w:pStyle w:val="0"/>
        <w:spacing w:before="240" w:lineRule="auto"/>
        <w:ind w:firstLine="540"/>
        <w:jc w:val="both"/>
      </w:pPr>
      <w:r>
        <w:rPr>
          <w:sz w:val="24"/>
        </w:rPr>
        <w:t xml:space="preserve">Обязательства должны исполняться надлежащим образом в соответствии с условиями обязательства и требованиями закона, иных правовых актов, а при отсутствии таких условий и требований - в соответствии с обычаями делового оборота или иными обычно предъявляемыми требованиями. Односторонний отказ от исполнения обязательства и одностороннее изменение его условий не допускаются (</w:t>
      </w:r>
      <w:hyperlink w:history="0" r:id="rId22" w:tooltip="&quot;Гражданский кодекс Российской Федерации (часть первая)&quot; от 30.11.1994 N 51-ФЗ (ред. от 08.08.2024, с изм. от 31.10.2024) ------------ Недействующая редакция {КонсультантПлюс}">
        <w:r>
          <w:rPr>
            <w:sz w:val="24"/>
            <w:color w:val="0000ff"/>
          </w:rPr>
          <w:t xml:space="preserve">статьи 309</w:t>
        </w:r>
      </w:hyperlink>
      <w:r>
        <w:rPr>
          <w:sz w:val="24"/>
        </w:rPr>
        <w:t xml:space="preserve">, </w:t>
      </w:r>
      <w:hyperlink w:history="0" r:id="rId23" w:tooltip="&quot;Гражданский кодекс Российской Федерации (часть первая)&quot; от 30.11.1994 N 51-ФЗ (ред. от 08.08.2024, с изм. от 31.10.2024) ------------ Недействующая редакция {КонсультантПлюс}">
        <w:r>
          <w:rPr>
            <w:sz w:val="24"/>
            <w:color w:val="0000ff"/>
          </w:rPr>
          <w:t xml:space="preserve">310</w:t>
        </w:r>
      </w:hyperlink>
      <w:r>
        <w:rPr>
          <w:sz w:val="24"/>
        </w:rPr>
        <w:t xml:space="preserve"> ГК РФ).</w:t>
      </w:r>
    </w:p>
    <w:p>
      <w:pPr>
        <w:pStyle w:val="0"/>
        <w:spacing w:before="240" w:lineRule="auto"/>
        <w:ind w:firstLine="540"/>
        <w:jc w:val="both"/>
      </w:pPr>
      <w:r>
        <w:rPr>
          <w:sz w:val="24"/>
        </w:rPr>
        <w:t xml:space="preserve">Согласно </w:t>
      </w:r>
      <w:hyperlink w:history="0" r:id="rId24" w:tooltip="&quot;Гражданский кодекс Российской Федерации (часть первая)&quot; от 30.11.1994 N 51-ФЗ (ред. от 08.08.2024, с изм. от 31.10.2024) ------------ Недействующая редакция {КонсультантПлюс}">
        <w:r>
          <w:rPr>
            <w:sz w:val="24"/>
            <w:color w:val="0000ff"/>
          </w:rPr>
          <w:t xml:space="preserve">п. 1 ст. 421</w:t>
        </w:r>
      </w:hyperlink>
      <w:r>
        <w:rPr>
          <w:sz w:val="24"/>
        </w:rPr>
        <w:t xml:space="preserve"> ГК РФ граждане и юридические лица свободны в заключении договора.</w:t>
      </w:r>
    </w:p>
    <w:p>
      <w:pPr>
        <w:pStyle w:val="0"/>
        <w:spacing w:before="240" w:lineRule="auto"/>
        <w:ind w:firstLine="540"/>
        <w:jc w:val="both"/>
      </w:pPr>
      <w:r>
        <w:rPr>
          <w:sz w:val="24"/>
        </w:rPr>
        <w:t xml:space="preserve">Из </w:t>
      </w:r>
      <w:hyperlink w:history="0" r:id="rId25" w:tooltip="&quot;Гражданский кодекс Российской Федерации (часть первая)&quot; от 30.11.1994 N 51-ФЗ (ред. от 08.08.2024, с изм. от 31.10.2024) ------------ Недействующая редакция {КонсультантПлюс}">
        <w:r>
          <w:rPr>
            <w:sz w:val="24"/>
            <w:color w:val="0000ff"/>
          </w:rPr>
          <w:t xml:space="preserve">п. 4 ст. 421</w:t>
        </w:r>
      </w:hyperlink>
      <w:r>
        <w:rPr>
          <w:sz w:val="24"/>
        </w:rPr>
        <w:t xml:space="preserve"> ГК РФ следует, что условия договора определяются по усмотрению сторон, кроме случаев, когда содержание соответствующего условия предписано законом или иными правовыми актами </w:t>
      </w:r>
      <w:hyperlink w:history="0" r:id="rId26" w:tooltip="&quot;Гражданский кодекс Российской Федерации (часть первая)&quot; от 30.11.1994 N 51-ФЗ (ред. от 08.08.2024, с изм. от 31.10.2024) ------------ Недействующая редакция {КонсультантПлюс}">
        <w:r>
          <w:rPr>
            <w:sz w:val="24"/>
            <w:color w:val="0000ff"/>
          </w:rPr>
          <w:t xml:space="preserve">(статья 422)</w:t>
        </w:r>
      </w:hyperlink>
      <w:r>
        <w:rPr>
          <w:sz w:val="24"/>
        </w:rPr>
        <w:t xml:space="preserve">.</w:t>
      </w:r>
    </w:p>
    <w:p>
      <w:pPr>
        <w:pStyle w:val="0"/>
        <w:spacing w:before="240" w:lineRule="auto"/>
        <w:ind w:firstLine="540"/>
        <w:jc w:val="both"/>
      </w:pPr>
      <w:r>
        <w:rPr>
          <w:sz w:val="24"/>
        </w:rPr>
        <w:t xml:space="preserve">Договор должен соответствовать обязательным для сторон правилам, установленным законом и иными правовыми актами (императивным нормам), действующим в момент его заключения. Если после заключения договора принят закон, устанавливающий обязательные для сторон правила иные, чем те, которые действовали при заключении договора, условия заключенного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 (</w:t>
      </w:r>
      <w:hyperlink w:history="0" r:id="rId27" w:tooltip="&quot;Гражданский кодекс Российской Федерации (часть первая)&quot; от 30.11.1994 N 51-ФЗ (ред. от 08.08.2024, с изм. от 31.10.2024) ------------ Недействующая редакция {КонсультантПлюс}">
        <w:r>
          <w:rPr>
            <w:sz w:val="24"/>
            <w:color w:val="0000ff"/>
          </w:rPr>
          <w:t xml:space="preserve">пункты 1</w:t>
        </w:r>
      </w:hyperlink>
      <w:r>
        <w:rPr>
          <w:sz w:val="24"/>
        </w:rPr>
        <w:t xml:space="preserve">, </w:t>
      </w:r>
      <w:hyperlink w:history="0" r:id="rId28" w:tooltip="&quot;Гражданский кодекс Российской Федерации (часть первая)&quot; от 30.11.1994 N 51-ФЗ (ред. от 08.08.2024, с изм. от 31.10.2024) ------------ Недействующая редакция {КонсультантПлюс}">
        <w:r>
          <w:rPr>
            <w:sz w:val="24"/>
            <w:color w:val="0000ff"/>
          </w:rPr>
          <w:t xml:space="preserve">2 ст. 422</w:t>
        </w:r>
      </w:hyperlink>
      <w:r>
        <w:rPr>
          <w:sz w:val="24"/>
        </w:rPr>
        <w:t xml:space="preserve"> ГК РФ).</w:t>
      </w:r>
    </w:p>
    <w:p>
      <w:pPr>
        <w:pStyle w:val="0"/>
        <w:spacing w:before="240" w:lineRule="auto"/>
        <w:ind w:firstLine="540"/>
        <w:jc w:val="both"/>
      </w:pPr>
      <w:r>
        <w:rPr>
          <w:sz w:val="24"/>
        </w:rPr>
        <w:t xml:space="preserve">Согласно </w:t>
      </w:r>
      <w:hyperlink w:history="0" r:id="rId29" w:tooltip="Федеральный закон от 27.07.2010 N 190-ФЗ (ред. от 08.08.2024) &quot;О теплоснабжении&quot; (с изм. и доп., вступ. в силу с 01.03.2025) {КонсультантПлюс}">
        <w:r>
          <w:rPr>
            <w:sz w:val="24"/>
            <w:color w:val="0000ff"/>
          </w:rPr>
          <w:t xml:space="preserve">ч. 1 ст. 28.1</w:t>
        </w:r>
      </w:hyperlink>
      <w:r>
        <w:rPr>
          <w:sz w:val="24"/>
        </w:rPr>
        <w:t xml:space="preserve"> Закона N 190-ФЗ передача прав владения и (или) пользования объектами теплоснабжения, находящимися в государственной или муниципальной собственности, осуществляется только по договорам их аренды, которые заключаются в соответствии с требованиями гражданского законодательства, антимонопольного законодательства Российской Федерации и принятых в соответствии с ними иных нормативных правовых актов Российской Федерации с учетом предусмотренных настоящим Федеральным </w:t>
      </w:r>
      <w:hyperlink w:history="0" r:id="rId30" w:tooltip="Федеральный закон от 27.07.2010 N 190-ФЗ (ред. от 08.08.2024) &quot;О теплоснабжении&quot; (с изм. и доп., вступ. в силу с 01.03.2025) {КонсультантПлюс}">
        <w:r>
          <w:rPr>
            <w:sz w:val="24"/>
            <w:color w:val="0000ff"/>
          </w:rPr>
          <w:t xml:space="preserve">законом</w:t>
        </w:r>
      </w:hyperlink>
      <w:r>
        <w:rPr>
          <w:sz w:val="24"/>
        </w:rPr>
        <w:t xml:space="preserve"> особенностей, или по концессионным соглашениям, заключенным в соответствии с требованиями законодательства Российской Федерации о концессионных соглашениях, за исключением предусмотренных законодательством Российской Федерации о несостоятельности (банкротстве) и законодательством Российской Федерации о приватизации случаев передачи прав на такие объекты.</w:t>
      </w:r>
    </w:p>
    <w:p>
      <w:pPr>
        <w:pStyle w:val="0"/>
        <w:spacing w:before="240" w:lineRule="auto"/>
        <w:ind w:firstLine="540"/>
        <w:jc w:val="both"/>
      </w:pPr>
      <w:r>
        <w:rPr>
          <w:sz w:val="24"/>
        </w:rPr>
        <w:t xml:space="preserve">Нормативно-правовое регулирование порядка заключения и исполнения концессионных соглашений, статуса их участников осуществляется </w:t>
      </w:r>
      <w:hyperlink w:history="0" r:id="rId31" w:tooltip="Федеральный закон от 21.07.2005 N 115-ФЗ (ред. от 30.11.2024) &quot;О концессионных соглашениях&quot; ------------ Недействующая редакция {КонсультантПлюс}">
        <w:r>
          <w:rPr>
            <w:sz w:val="24"/>
            <w:color w:val="0000ff"/>
          </w:rPr>
          <w:t xml:space="preserve">Законом</w:t>
        </w:r>
      </w:hyperlink>
      <w:r>
        <w:rPr>
          <w:sz w:val="24"/>
        </w:rPr>
        <w:t xml:space="preserve"> N 115-ФЗ, целями которого являются привлечение инвестиций в экономику Российской Федерации, обеспечение эффективного использования имущества, находящегося в государственной или муниципальной собственности, на условиях концессионных соглашений и повышение качества товаров, работ, услуг, предоставляемых потребителям.</w:t>
      </w:r>
    </w:p>
    <w:p>
      <w:pPr>
        <w:pStyle w:val="0"/>
        <w:spacing w:before="240" w:lineRule="auto"/>
        <w:ind w:firstLine="540"/>
        <w:jc w:val="both"/>
      </w:pPr>
      <w:r>
        <w:rPr>
          <w:sz w:val="24"/>
        </w:rPr>
        <w:t xml:space="preserve">В соответствии с </w:t>
      </w:r>
      <w:hyperlink w:history="0" r:id="rId32" w:tooltip="Федеральный закон от 21.07.2005 N 115-ФЗ (ред. от 30.11.2024) &quot;О концессионных соглашениях&quot; ------------ Недействующая редакция {КонсультантПлюс}">
        <w:r>
          <w:rPr>
            <w:sz w:val="24"/>
            <w:color w:val="0000ff"/>
          </w:rPr>
          <w:t xml:space="preserve">ч. 1 ст. 3</w:t>
        </w:r>
      </w:hyperlink>
      <w:r>
        <w:rPr>
          <w:sz w:val="24"/>
        </w:rPr>
        <w:t xml:space="preserve"> Закона N 115-ФЗ (в редакции, действующей на дату заключения Концессионного соглашения) по концессионному соглашению одна сторона (концессионер) обязуется за свой счет создать и (или) реконструировать определенное этим соглашением имущество (недвижимое имущество или недвижимое имущество и движимое имущество, технологически связанные между собой и предназначенные для осуществления деятельности, предусмотренной концессионным соглашением) (далее - объект концессионного соглашения), право собственности на которое принадлежит или будет принадлежать другой стороне (концеденту), осуществлять деятельность с использованием (эксплуатацией) объекта концессионного соглашения, а концедент обязуется предоставить концессионеру на срок, установленный этим соглашением, права владения и пользования объектом концессионного соглашения для осуществления указанной деятельности.</w:t>
      </w:r>
    </w:p>
    <w:p>
      <w:pPr>
        <w:pStyle w:val="0"/>
        <w:spacing w:before="240" w:lineRule="auto"/>
        <w:ind w:firstLine="540"/>
        <w:jc w:val="both"/>
      </w:pPr>
      <w:r>
        <w:rPr>
          <w:sz w:val="24"/>
          <w:highlight w:val="yellow"/>
        </w:rPr>
        <w:t xml:space="preserve">Концессионное соглашение является договором, в котором содержатся элементы различных договоров, предусмотренных федеральными законами. К отношениям сторон концессионного соглашения применяются в соответствующих частях правила гражданского законодательства о договорах, элементы которых содержатся в концессионном соглашении, если иное не вытекает из настоящего Федерального закона или существа концессионного соглашения (</w:t>
      </w:r>
      <w:hyperlink w:history="0" r:id="rId33" w:tooltip="Федеральный закон от 21.07.2005 N 115-ФЗ (ред. от 30.11.2024) &quot;О концессионных соглашениях&quot; ------------ Недействующая редакция {КонсультантПлюс}">
        <w:r>
          <w:rPr>
            <w:sz w:val="24"/>
            <w:color w:val="0000ff"/>
            <w:highlight w:val="yellow"/>
          </w:rPr>
          <w:t xml:space="preserve">ч. 2 ст. 3</w:t>
        </w:r>
      </w:hyperlink>
      <w:r>
        <w:rPr>
          <w:sz w:val="24"/>
          <w:highlight w:val="yellow"/>
        </w:rPr>
        <w:t xml:space="preserve"> Закона N 115-ФЗ).</w:t>
      </w:r>
    </w:p>
    <w:p>
      <w:pPr>
        <w:pStyle w:val="0"/>
        <w:spacing w:before="240" w:lineRule="auto"/>
        <w:ind w:firstLine="540"/>
        <w:jc w:val="both"/>
      </w:pPr>
      <w:r>
        <w:rPr>
          <w:sz w:val="24"/>
        </w:rPr>
        <w:t xml:space="preserve">Согласно </w:t>
      </w:r>
      <w:hyperlink w:history="0" r:id="rId34" w:tooltip="Федеральный закон от 21.07.2005 N 115-ФЗ (ред. от 30.11.2024) &quot;О концессионных соглашениях&quot; ------------ Недействующая редакция {КонсультантПлюс}">
        <w:r>
          <w:rPr>
            <w:sz w:val="24"/>
            <w:color w:val="0000ff"/>
          </w:rPr>
          <w:t xml:space="preserve">п. 11 ч. 1 ст. 4</w:t>
        </w:r>
      </w:hyperlink>
      <w:r>
        <w:rPr>
          <w:sz w:val="24"/>
        </w:rPr>
        <w:t xml:space="preserve"> Закона N 115-ФЗ (в вышеуказанной редакции), объектами концессионного соглашения, могут являться системы коммунальной инфраструктуры и иные объекты коммунального хозяйства, в том числе объекты тепло-, газо- и энергоснабжения, централизованные системы горячего водоснабжения, холодного водоснабжения и (или) водоотведения, отдельные объекты таких систем, объекты, на которых осуществляются обработка, утилизация, обезвреживание, размещение твердых коммунальных отходов, объекты, предназначенные для освещения территорий городских и сельских поселений, объекты, предназначенные для благоустройства территорий, а также объекты социального обслуживания населения.</w:t>
      </w:r>
    </w:p>
    <w:p>
      <w:pPr>
        <w:pStyle w:val="0"/>
        <w:spacing w:before="240" w:lineRule="auto"/>
        <w:ind w:firstLine="540"/>
        <w:jc w:val="both"/>
      </w:pPr>
      <w:hyperlink w:history="0" r:id="rId35" w:tooltip="Федеральный закон от 21.07.2005 N 115-ФЗ (ред. от 30.11.2024) &quot;О концессионных соглашениях&quot; ------------ Недействующая редакция {КонсультантПлюс}">
        <w:r>
          <w:rPr>
            <w:sz w:val="24"/>
            <w:color w:val="0000ff"/>
            <w:highlight w:val="yellow"/>
          </w:rPr>
          <w:t xml:space="preserve">Частью 12 ст. 3</w:t>
        </w:r>
      </w:hyperlink>
      <w:r>
        <w:rPr>
          <w:sz w:val="24"/>
          <w:highlight w:val="yellow"/>
        </w:rPr>
        <w:t xml:space="preserve"> Закона N 115-ФЗ установлено, что концессионер несет расходы на исполнение обязательств по концессионному соглашению, если концессионным соглашением не установлено иное</w:t>
      </w:r>
      <w:r>
        <w:rPr>
          <w:sz w:val="24"/>
        </w:rPr>
        <w:t xml:space="preserve">.</w:t>
      </w:r>
    </w:p>
    <w:p>
      <w:pPr>
        <w:pStyle w:val="0"/>
        <w:spacing w:before="240" w:lineRule="auto"/>
        <w:ind w:firstLine="540"/>
        <w:jc w:val="both"/>
      </w:pPr>
      <w:r>
        <w:rPr>
          <w:sz w:val="24"/>
          <w:highlight w:val="yellow"/>
        </w:rPr>
        <w:t xml:space="preserve">Обращаясь с настоящим исковым заявлением, истец сослался на то, что в процессе исполнения обязательств по Концессионному соглашению от 10.09.2015, возникли Особые обстоятельства, понятие которых было введено сторонами Дополнительным соглашением N 1 от 01.06.2017 к Концессионному соглашению.</w:t>
      </w:r>
    </w:p>
    <w:p>
      <w:pPr>
        <w:pStyle w:val="0"/>
        <w:spacing w:before="240" w:lineRule="auto"/>
        <w:ind w:firstLine="540"/>
        <w:jc w:val="both"/>
      </w:pPr>
      <w:r>
        <w:rPr>
          <w:sz w:val="24"/>
          <w:highlight w:val="yellow"/>
        </w:rPr>
        <w:t xml:space="preserve">В качестве Особых обстоятельств, истец указал на изменения, внесенные в законодательные акты, касающиеся тарифного регулирования в сфере теплоснабжения, на изменение ключевой ставки Банка России, что повлекло за собой увеличение расходов по погашению и обслуживанию заемных денежных средств.</w:t>
      </w:r>
    </w:p>
    <w:p>
      <w:pPr>
        <w:pStyle w:val="0"/>
        <w:spacing w:before="240" w:lineRule="auto"/>
        <w:ind w:firstLine="540"/>
        <w:jc w:val="both"/>
      </w:pPr>
      <w:r>
        <w:rPr>
          <w:sz w:val="24"/>
        </w:rPr>
        <w:t xml:space="preserve">Пунктом 16.4 Концессионного соглашения, в редакции дополнительного соглашения N 1, стороны к особому обстоятельству, не относящемуся ни к одной из Сторон, отнесли, в том числе:</w:t>
      </w:r>
    </w:p>
    <w:p>
      <w:pPr>
        <w:pStyle w:val="0"/>
        <w:spacing w:before="240" w:lineRule="auto"/>
        <w:ind w:firstLine="540"/>
        <w:jc w:val="both"/>
      </w:pPr>
      <w:r>
        <w:rPr>
          <w:sz w:val="24"/>
        </w:rPr>
        <w:t xml:space="preserve">- подп. (с) - изменение предусмотренных Применимым правом на Дату заключения концессионного соглашения правил учета при установлении Тарифов процентов, уплачиваемых Концессионером по Соглашениям о финансировании и соглашениям о предоставлении Акционерных займов, если в результате такого изменения размер расходов на уплату процентов, которые не могут быть учтены Органом регулирования при установлении Тарифов на очередной расчетный период регулирования, превысил 10 000 000 (десять миллионов) рублей;</w:t>
      </w:r>
    </w:p>
    <w:p>
      <w:pPr>
        <w:pStyle w:val="0"/>
        <w:spacing w:before="240" w:lineRule="auto"/>
        <w:ind w:firstLine="540"/>
        <w:jc w:val="both"/>
      </w:pPr>
      <w:r>
        <w:rPr>
          <w:sz w:val="24"/>
        </w:rPr>
        <w:t xml:space="preserve">- подп. (f) - изменение Применимого права, включая нормативные правовые акты в сфере тарифообразования, ухудшающее положение Концессионера таким образом, что он в значительной степени лишается того, на что был вправе рассчитывать при заключении Концессионного соглашения, включая отмену предусмотренного Концессионным соглашением метода регулирования тарифов для Концессионера;</w:t>
      </w:r>
    </w:p>
    <w:p>
      <w:pPr>
        <w:pStyle w:val="0"/>
        <w:spacing w:before="240" w:lineRule="auto"/>
        <w:ind w:firstLine="540"/>
        <w:jc w:val="both"/>
      </w:pPr>
      <w:r>
        <w:rPr>
          <w:sz w:val="24"/>
        </w:rPr>
        <w:t xml:space="preserve">- подп. (g) - вступление в силу нормативных правовых актов, в связи с которыми Концессионер или Концедент оказываются неспособными выполнить принятые на себя обязательства.</w:t>
      </w:r>
    </w:p>
    <w:p>
      <w:pPr>
        <w:pStyle w:val="0"/>
        <w:spacing w:before="240" w:lineRule="auto"/>
        <w:ind w:firstLine="540"/>
        <w:jc w:val="both"/>
      </w:pPr>
      <w:r>
        <w:rPr>
          <w:sz w:val="24"/>
        </w:rPr>
        <w:t xml:space="preserve">В соответствии с п. 16.7. Концессионного соглашения (в редакции дополнительного соглашения N 1) если наступление Особого обстоятельства, прямо повлекло или повлечет расходы Концессионера, то Концедент обязан возместить Концессионеру понесенные им дополнительные расходы.</w:t>
      </w:r>
    </w:p>
    <w:p>
      <w:pPr>
        <w:pStyle w:val="0"/>
        <w:spacing w:before="240" w:lineRule="auto"/>
        <w:ind w:firstLine="540"/>
        <w:jc w:val="both"/>
      </w:pPr>
      <w:r>
        <w:rPr>
          <w:sz w:val="24"/>
        </w:rPr>
        <w:t xml:space="preserve">Согласно положениям </w:t>
      </w:r>
      <w:hyperlink w:history="0" r:id="rId36" w:tooltip="&quot;Гражданский кодекс Российской Федерации (часть первая)&quot; от 30.11.1994 N 51-ФЗ (ред. от 08.08.2024, с изм. от 31.10.2024) ------------ Недействующая редакция {КонсультантПлюс}">
        <w:r>
          <w:rPr>
            <w:sz w:val="24"/>
            <w:color w:val="0000ff"/>
          </w:rPr>
          <w:t xml:space="preserve">ст. 425</w:t>
        </w:r>
      </w:hyperlink>
      <w:r>
        <w:rPr>
          <w:sz w:val="24"/>
        </w:rPr>
        <w:t xml:space="preserve"> ГК РФ договор вступает в силу и становится обязательным для сторон с момента его заключения.</w:t>
      </w:r>
    </w:p>
    <w:p>
      <w:pPr>
        <w:pStyle w:val="0"/>
        <w:spacing w:before="240" w:lineRule="auto"/>
        <w:ind w:firstLine="540"/>
        <w:jc w:val="both"/>
      </w:pPr>
      <w:r>
        <w:rPr>
          <w:sz w:val="24"/>
        </w:rPr>
        <w:t xml:space="preserve">Как следует из пояснения сторон, Дополнительным соглашением N 1 от 01.06.2017 к Концессионному соглашению от 10.09.2015, в приложении N 1 изложена новая редакция Концессионного соглашения, т.е. сторонами внесены изменения в данное соглашение.</w:t>
      </w:r>
    </w:p>
    <w:p>
      <w:pPr>
        <w:pStyle w:val="0"/>
        <w:spacing w:before="240" w:lineRule="auto"/>
        <w:ind w:firstLine="540"/>
        <w:jc w:val="both"/>
      </w:pPr>
      <w:r>
        <w:rPr>
          <w:sz w:val="24"/>
        </w:rPr>
        <w:t xml:space="preserve">В силу </w:t>
      </w:r>
      <w:hyperlink w:history="0" r:id="rId37" w:tooltip="&quot;Гражданский кодекс Российской Федерации (часть первая)&quot; от 30.11.1994 N 51-ФЗ (ред. от 08.08.2024, с изм. от 31.10.2024) ------------ Недействующая редакция {КонсультантПлюс}">
        <w:r>
          <w:rPr>
            <w:sz w:val="24"/>
            <w:color w:val="0000ff"/>
          </w:rPr>
          <w:t xml:space="preserve">п. 1 ст. 450</w:t>
        </w:r>
      </w:hyperlink>
      <w:r>
        <w:rPr>
          <w:sz w:val="24"/>
        </w:rPr>
        <w:t xml:space="preserve"> ГК РФ изменение договора возможно по соглашению сторон, если иное не предусмотрено настоящим Кодексом, другими законами или договором.</w:t>
      </w:r>
    </w:p>
    <w:p>
      <w:pPr>
        <w:pStyle w:val="0"/>
        <w:spacing w:before="240" w:lineRule="auto"/>
        <w:ind w:firstLine="540"/>
        <w:jc w:val="both"/>
      </w:pPr>
      <w:r>
        <w:rPr>
          <w:sz w:val="24"/>
        </w:rPr>
        <w:t xml:space="preserve">Согласно </w:t>
      </w:r>
      <w:hyperlink w:history="0" r:id="rId38" w:tooltip="&quot;Гражданский кодекс Российской Федерации (часть первая)&quot; от 30.11.1994 N 51-ФЗ (ред. от 08.08.2024, с изм. от 31.10.2024) ------------ Недействующая редакция {КонсультантПлюс}">
        <w:r>
          <w:rPr>
            <w:sz w:val="24"/>
            <w:color w:val="0000ff"/>
          </w:rPr>
          <w:t xml:space="preserve">п. 1 ст. 452</w:t>
        </w:r>
      </w:hyperlink>
      <w:r>
        <w:rPr>
          <w:sz w:val="24"/>
        </w:rPr>
        <w:t xml:space="preserve"> ГК РФ соглашение об изменении договора совершается в той же форме, что и договор, если из закона, иных правовых актов, договора или обычаев не вытекает иное.</w:t>
      </w:r>
    </w:p>
    <w:p>
      <w:pPr>
        <w:pStyle w:val="0"/>
        <w:spacing w:before="240" w:lineRule="auto"/>
        <w:ind w:firstLine="540"/>
        <w:jc w:val="both"/>
      </w:pPr>
      <w:r>
        <w:rPr>
          <w:sz w:val="24"/>
        </w:rPr>
        <w:t xml:space="preserve">При этом, в силу </w:t>
      </w:r>
      <w:hyperlink w:history="0" r:id="rId39" w:tooltip="&quot;Гражданский кодекс Российской Федерации (часть первая)&quot; от 30.11.1994 N 51-ФЗ (ред. от 08.08.2024, с изм. от 31.10.2024) ------------ Недействующая редакция {КонсультантПлюс}">
        <w:r>
          <w:rPr>
            <w:sz w:val="24"/>
            <w:color w:val="0000ff"/>
          </w:rPr>
          <w:t xml:space="preserve">п. 1 ст. 453</w:t>
        </w:r>
      </w:hyperlink>
      <w:r>
        <w:rPr>
          <w:sz w:val="24"/>
        </w:rPr>
        <w:t xml:space="preserve"> ГК РФ при изменении договора обязательства сторон сохраняются в измененном виде.</w:t>
      </w:r>
    </w:p>
    <w:p>
      <w:pPr>
        <w:pStyle w:val="0"/>
        <w:spacing w:before="240" w:lineRule="auto"/>
        <w:ind w:firstLine="540"/>
        <w:jc w:val="both"/>
      </w:pPr>
      <w:r>
        <w:rPr>
          <w:sz w:val="24"/>
        </w:rPr>
        <w:t xml:space="preserve">В случае изменения или расторжения договора обязательства считаются измененными или прекращенными с момента заключения соглашения сторон об изменении или о расторжении договора, если иное не вытекает из соглашения или характера изменения договора, а при изменении или расторжении договора в судебном порядке - с момента вступления в законную силу решения суда об изменении или о расторжении договора (</w:t>
      </w:r>
      <w:hyperlink w:history="0" r:id="rId40" w:tooltip="&quot;Гражданский кодекс Российской Федерации (часть первая)&quot; от 30.11.1994 N 51-ФЗ (ред. от 08.08.2024, с изм. от 31.10.2024) ------------ Недействующая редакция {КонсультантПлюс}">
        <w:r>
          <w:rPr>
            <w:sz w:val="24"/>
            <w:color w:val="0000ff"/>
          </w:rPr>
          <w:t xml:space="preserve">п. 3 ст. 453</w:t>
        </w:r>
      </w:hyperlink>
      <w:r>
        <w:rPr>
          <w:sz w:val="24"/>
        </w:rPr>
        <w:t xml:space="preserve"> ГК РФ).</w:t>
      </w:r>
    </w:p>
    <w:p>
      <w:pPr>
        <w:pStyle w:val="0"/>
        <w:spacing w:before="240" w:lineRule="auto"/>
        <w:ind w:firstLine="540"/>
        <w:jc w:val="both"/>
      </w:pPr>
      <w:r>
        <w:rPr>
          <w:sz w:val="24"/>
        </w:rPr>
        <w:t xml:space="preserve">Следовательно, по общему правилу, изменение договора влечет изменение соответствующих обязательств сторон лишь на будущее время и не освобождает стороны от ответственности за нарушение обязательств, возникших до такого изменения (</w:t>
      </w:r>
      <w:hyperlink w:history="0" r:id="rId41" w:tooltip="&quot;Обзор судебной практики Верховного Суда Российской Федерации N 2 (2017)&quot; (утв. Президиумом Верховного Суда РФ 26.04.2017) {КонсультантПлюс}">
        <w:r>
          <w:rPr>
            <w:sz w:val="24"/>
            <w:color w:val="0000ff"/>
          </w:rPr>
          <w:t xml:space="preserve">п. 9</w:t>
        </w:r>
      </w:hyperlink>
      <w:r>
        <w:rPr>
          <w:sz w:val="24"/>
        </w:rPr>
        <w:t xml:space="preserve"> Обзора судебной практики Верховного Суда Российской Федерации N 2 (2017), утв. Президиумом Верховного Суда Российской Федерации 26.04.2017).</w:t>
      </w:r>
    </w:p>
    <w:p>
      <w:pPr>
        <w:pStyle w:val="0"/>
        <w:spacing w:before="240" w:lineRule="auto"/>
        <w:ind w:firstLine="540"/>
        <w:jc w:val="both"/>
      </w:pPr>
      <w:r>
        <w:rPr>
          <w:sz w:val="24"/>
        </w:rPr>
        <w:t xml:space="preserve">Как следует из п. 3 Дополнительного соглашения N 1 от 01.06.2017, настоящее дополнительное соглашение (приложением N 1 которого выступает Концессионное соглашение в новой редакции) вступает в силу с даты его подписания. В силу чего, ссылка истца и судов на то, что условия вышеуказанного Дополнительного соглашения N 1 распространяются на ранее возникшие обязательства, несостоятельна.</w:t>
      </w:r>
    </w:p>
    <w:p>
      <w:pPr>
        <w:pStyle w:val="0"/>
        <w:spacing w:before="240" w:lineRule="auto"/>
        <w:ind w:firstLine="540"/>
        <w:jc w:val="both"/>
      </w:pPr>
      <w:r>
        <w:rPr>
          <w:sz w:val="24"/>
        </w:rPr>
        <w:t xml:space="preserve">Также судебная коллегия отмечает, что </w:t>
      </w:r>
      <w:hyperlink w:history="0" r:id="rId42" w:tooltip="Постановление Правительства РФ от 24.01.2017 N 54 &quot;О внесении изменений в некоторые акты Правительства Российской Федерации&quot; {КонсультантПлюс}">
        <w:r>
          <w:rPr>
            <w:sz w:val="24"/>
            <w:color w:val="0000ff"/>
          </w:rPr>
          <w:t xml:space="preserve">постановлением</w:t>
        </w:r>
      </w:hyperlink>
      <w:r>
        <w:rPr>
          <w:sz w:val="24"/>
        </w:rPr>
        <w:t xml:space="preserve"> Правительства Российской Федерации от 24.01.2017 N 54 "О внесении изменений в некоторые акты Правительства Российской Федерации" были внесены изменения в </w:t>
      </w:r>
      <w:hyperlink w:history="0" r:id="rId43" w:tooltip="Постановление Правительства РФ от 22.10.2012 N 1075 (ред. от 17.12.2024) &quot;О ценообразовании в сфере теплоснабжения&quot; (вместе с &quot;Основами ценообразования в сфере теплоснабжения&quot;, &quot;Правилами регулирования цен (тарифов) в сфере теплоснабжения&quot;, &quot;Правилами установления долгосрочных параметров регулирования деятельности организаций в отнесенной законодательством Российской Федерации к сферам деятельности субъектов естественных монополий сфере теплоснабжения и (или) цен (тарифов) в сфере теплоснабжения, которые по ------------ Недействующая редакция {КонсультантПлюс}">
        <w:r>
          <w:rPr>
            <w:sz w:val="24"/>
            <w:color w:val="0000ff"/>
          </w:rPr>
          <w:t xml:space="preserve">постановление</w:t>
        </w:r>
      </w:hyperlink>
      <w:r>
        <w:rPr>
          <w:sz w:val="24"/>
        </w:rPr>
        <w:t xml:space="preserve"> Правительства Российской Федерации от 22.10.2012 N 1075 "О ценообразовании в сфере теплоснабжения", вступившие в действие с 07.02.2017, в том числе и в части включения расходов на погашение и обслуживание заемных средств, привлекаемых на реализацию мероприятий инвестиционной программы, в величину нормативной прибыли регулируемой организации.</w:t>
      </w:r>
    </w:p>
    <w:p>
      <w:pPr>
        <w:pStyle w:val="0"/>
        <w:spacing w:before="240" w:lineRule="auto"/>
        <w:ind w:firstLine="540"/>
        <w:jc w:val="both"/>
      </w:pPr>
      <w:r>
        <w:rPr>
          <w:sz w:val="24"/>
          <w:highlight w:val="yellow"/>
        </w:rPr>
        <w:t xml:space="preserve">При этом, нормы </w:t>
      </w:r>
      <w:hyperlink w:history="0" r:id="rId44" w:tooltip="Постановление Правительства РФ от 22.10.2012 N 1075 (ред. от 17.12.2024) &quot;О ценообразовании в сфере теплоснабжения&quot; (вместе с &quot;Основами ценообразования в сфере теплоснабжения&quot;, &quot;Правилами регулирования цен (тарифов) в сфере теплоснабжения&quot;, &quot;Правилами установления долгосрочных параметров регулирования деятельности организаций в отнесенной законодательством Российской Федерации к сферам деятельности субъектов естественных монополий сфере теплоснабжения и (или) цен (тарифов) в сфере теплоснабжения, которые по ------------ Недействующая редакция {КонсультантПлюс}">
        <w:r>
          <w:rPr>
            <w:sz w:val="24"/>
            <w:color w:val="0000ff"/>
            <w:highlight w:val="yellow"/>
          </w:rPr>
          <w:t xml:space="preserve">Основ</w:t>
        </w:r>
      </w:hyperlink>
      <w:r>
        <w:rPr>
          <w:sz w:val="24"/>
          <w:highlight w:val="yellow"/>
        </w:rPr>
        <w:t xml:space="preserve"> ценообразования в сфере теплоснабжения в редакции постановления Правительства Российской Федерации от 24.01.2017 N 54 не предусматривают распространение своего действия на правоотношения ранее заключенных соглашений.</w:t>
      </w:r>
    </w:p>
    <w:p>
      <w:pPr>
        <w:pStyle w:val="0"/>
        <w:spacing w:before="240" w:lineRule="auto"/>
        <w:ind w:firstLine="540"/>
        <w:jc w:val="both"/>
      </w:pPr>
      <w:r>
        <w:rPr>
          <w:sz w:val="24"/>
          <w:highlight w:val="yellow"/>
        </w:rPr>
        <w:t xml:space="preserve">Доказательств того, что Особые обстоятельства, на которые ссылается истец, возникли после 01.06.2017 (дата подписания Дополнительного соглашения N 1), в материалы дела не представлено.</w:t>
      </w:r>
    </w:p>
    <w:p>
      <w:pPr>
        <w:pStyle w:val="0"/>
        <w:spacing w:before="240" w:lineRule="auto"/>
        <w:ind w:firstLine="540"/>
        <w:jc w:val="both"/>
      </w:pPr>
      <w:r>
        <w:rPr>
          <w:sz w:val="24"/>
        </w:rPr>
        <w:t xml:space="preserve">Напротив, в период действия Концессионного соглашения, в редакции дополнительного соглашения N 1 от 01.06.2017, нормы действующего законодательства в сфере государственного регулирования цен (тарифов), которые бы смогли повлечь наступление Особых обстоятельств, предусмотренных подпунктами (с), (f) и (g) п. 16.4 данного соглашения, не изменялись:</w:t>
      </w:r>
    </w:p>
    <w:p>
      <w:pPr>
        <w:pStyle w:val="0"/>
        <w:spacing w:before="240" w:lineRule="auto"/>
        <w:ind w:firstLine="540"/>
        <w:jc w:val="both"/>
      </w:pPr>
      <w:r>
        <w:rPr>
          <w:sz w:val="24"/>
        </w:rPr>
        <w:t xml:space="preserve">- правила учета при установлении Тарифов процентов заемных средств, уплачиваемых концессионером (пп. (с) п. 16.4), не изменялись;</w:t>
      </w:r>
    </w:p>
    <w:p>
      <w:pPr>
        <w:pStyle w:val="0"/>
        <w:spacing w:before="240" w:lineRule="auto"/>
        <w:ind w:firstLine="540"/>
        <w:jc w:val="both"/>
      </w:pPr>
      <w:r>
        <w:rPr>
          <w:sz w:val="24"/>
        </w:rPr>
        <w:t xml:space="preserve">- Применимое право (вступившие в силу и сохраняющие свое действие нормы законодательства), включая нормативные правовые акты в сфере тарифообразования, ухудшающие положения концессионера таким образом, что он в значительной лишается того, на что был вправе рассчитывать при заключении Концессионного соглашения (пп. (f) п. 16.4), не изменялись;</w:t>
      </w:r>
    </w:p>
    <w:p>
      <w:pPr>
        <w:pStyle w:val="0"/>
        <w:spacing w:before="240" w:lineRule="auto"/>
        <w:ind w:firstLine="540"/>
        <w:jc w:val="both"/>
      </w:pPr>
      <w:r>
        <w:rPr>
          <w:sz w:val="24"/>
        </w:rPr>
        <w:t xml:space="preserve">- метод регулирования тарифов для концессионера, предусмотренный Концессионным соглашением (пп. (f) п. 16.4), не отменялся;</w:t>
      </w:r>
    </w:p>
    <w:p>
      <w:pPr>
        <w:pStyle w:val="0"/>
        <w:spacing w:before="240" w:lineRule="auto"/>
        <w:ind w:firstLine="540"/>
        <w:jc w:val="both"/>
      </w:pPr>
      <w:r>
        <w:rPr>
          <w:sz w:val="24"/>
        </w:rPr>
        <w:t xml:space="preserve">- нормативные правовые акты, в связи со вступлением в силу которых концессионер или концедент оказываются неспособными выполнить принятые на себя обязательства (пп. (g) п. 16.4), не принимались.</w:t>
      </w:r>
    </w:p>
    <w:p>
      <w:pPr>
        <w:pStyle w:val="0"/>
        <w:spacing w:before="240" w:lineRule="auto"/>
        <w:ind w:firstLine="540"/>
        <w:jc w:val="both"/>
      </w:pPr>
      <w:r>
        <w:rPr>
          <w:sz w:val="24"/>
        </w:rPr>
        <w:t xml:space="preserve">Кроме того, из пояснений Комитета по тарифам Тульской области, которые истцом не опровергнуты, следует, что с учетом внесенных с 07.02.2017 изменений в Основы ценообразования в сфере теплоснабжения, Общество инициировало изменение значений долгосрочных параметров регулирования, установленных в качестве условий действующего Концессионного соглашения от 10.09.2015, и направило 07.04.2017 заявление в Комитет в соответствии с действующими нормами Основ ценообразования в сфере теплоснабжения в редакции Постановления от 24.01.2017 N 54.</w:t>
      </w:r>
    </w:p>
    <w:p>
      <w:pPr>
        <w:pStyle w:val="0"/>
        <w:spacing w:before="240" w:lineRule="auto"/>
        <w:ind w:firstLine="540"/>
        <w:jc w:val="both"/>
      </w:pPr>
      <w:r>
        <w:rPr>
          <w:sz w:val="24"/>
        </w:rPr>
        <w:t xml:space="preserve">Комитет по тарифам, в рамках своих полномочий также согласовал заявленные ООО "РГК-1" долгосрочные параметры регулирования и устанавливал тарифы в период долгосрочного регулирования организации в соответствии с утвержденными долгосрочными параметрами регулирования и действующими нормами Основ ценообразования в сфере теплоснабжения в редакции Постановления от 24.01.2017 N 54.</w:t>
      </w:r>
    </w:p>
    <w:p>
      <w:pPr>
        <w:pStyle w:val="0"/>
        <w:spacing w:before="240" w:lineRule="auto"/>
        <w:ind w:firstLine="540"/>
        <w:jc w:val="both"/>
      </w:pPr>
      <w:r>
        <w:rPr>
          <w:sz w:val="24"/>
        </w:rPr>
        <w:t xml:space="preserve">Дополнительным соглашением N 1 от 01.06.2017 был пересмотрен перечень заданий и основные мероприятия по созданию и реконструкции объектов Концессионного соглашения, а объем инвестиций был увеличен более чем в 2 раза (с 214049,70 тыс. руб. до 453054,70 тыс. руб.), текст Концессионного соглашения, включая все приложения к нему, полностью изложен в новой редакции в соответствии с нормами действующего законодательства, а Тульская область с 01.06.2017 вступила в Концессионное соглашение в качестве самостоятельной Стороны.</w:t>
      </w:r>
    </w:p>
    <w:p>
      <w:pPr>
        <w:pStyle w:val="0"/>
        <w:spacing w:before="240" w:lineRule="auto"/>
        <w:ind w:firstLine="540"/>
        <w:jc w:val="both"/>
      </w:pPr>
      <w:r>
        <w:rPr>
          <w:sz w:val="24"/>
        </w:rPr>
        <w:t xml:space="preserve">В рамках исполнения Концессионного соглашения при регулировании деятельности ООО "РГК-1" Комитетом соблюдены все долгосрочные параметры регулирования, установленные для Общества по его заявлению в Концессионном соглашении (нормативный уровень прибыли, базовый уровень операционных расходов и т.д.). Тарифы для ООО "РГК-1" установлены на экономически обоснованном уровне в соответствии с нормами действующего законодательства.</w:t>
      </w:r>
    </w:p>
    <w:p>
      <w:pPr>
        <w:pStyle w:val="0"/>
        <w:spacing w:before="240" w:lineRule="auto"/>
        <w:ind w:firstLine="540"/>
        <w:jc w:val="both"/>
      </w:pPr>
      <w:r>
        <w:rPr>
          <w:sz w:val="24"/>
        </w:rPr>
        <w:t xml:space="preserve">Кредитные средства и проценты по ним, предусмотренные инвестиционной программой ООО "РГК-1", были учтены Комитетом в нормативном уровне прибыли при расчете значений долгосрочных параметров регулирования, установленных в качестве условий Концессионного соглашения (в редакции дополнительных соглашений N от 01.06.2017 и N 2 от 07.10.2020), в соответствии с нормами Основ ценообразования в сфере теплоснабжения в редакции Постановления от 24.01.2017 N 54.</w:t>
      </w:r>
    </w:p>
    <w:p>
      <w:pPr>
        <w:pStyle w:val="0"/>
        <w:spacing w:before="240" w:lineRule="auto"/>
        <w:ind w:firstLine="540"/>
        <w:jc w:val="both"/>
      </w:pPr>
      <w:r>
        <w:rPr>
          <w:sz w:val="24"/>
        </w:rPr>
        <w:t xml:space="preserve">Также с заключением Дополнительного соглашения N 2 объем инвестиций был увеличен с 453054,70 тыс. руб. до 497287,64 тыс. руб.</w:t>
      </w:r>
    </w:p>
    <w:p>
      <w:pPr>
        <w:pStyle w:val="0"/>
        <w:spacing w:before="240" w:lineRule="auto"/>
        <w:ind w:firstLine="540"/>
        <w:jc w:val="both"/>
      </w:pPr>
      <w:r>
        <w:rPr>
          <w:sz w:val="24"/>
        </w:rPr>
        <w:t xml:space="preserve">Вместе с тем, судами не дана соответствующая правовая оценка вышеуказанным пояснениям.</w:t>
      </w:r>
    </w:p>
    <w:p>
      <w:pPr>
        <w:pStyle w:val="0"/>
        <w:spacing w:before="240" w:lineRule="auto"/>
        <w:ind w:firstLine="540"/>
        <w:jc w:val="both"/>
      </w:pPr>
      <w:r>
        <w:rPr>
          <w:sz w:val="24"/>
          <w:highlight w:val="yellow"/>
        </w:rPr>
        <w:t xml:space="preserve">Принимая во внимание вышеизложенное и учитывая, что понятие "Особые обстоятельства", а также причины их возникновения, были включены в Концессионное соглашение на основании Дополнительного соглашения N 1 от 01.06.2017, т.е. на дату подписания Дополнительного соглашения N 1, Основы ценообразования в сфере теплоснабжения уже действовали в измененной редакции, а впоследствии в указанной истцом части не изменялись, выводы судов первой и апелляционной инстанции о возникновении особых обстоятельств, предусмотренных соответствующими подпунктами (с), (f), (g) п. 16.4 Концессионного соглашения в измененной редакции, признаются судебной коллегией преждевременными.</w:t>
      </w:r>
    </w:p>
    <w:p>
      <w:pPr>
        <w:pStyle w:val="0"/>
        <w:spacing w:before="240" w:lineRule="auto"/>
        <w:ind w:firstLine="540"/>
        <w:jc w:val="both"/>
      </w:pPr>
      <w:r>
        <w:rPr>
          <w:sz w:val="24"/>
        </w:rPr>
        <w:t xml:space="preserve">К доводам истца о том, что изменение размера ключевой ставки Банка России, в силу чего у концессионера возникли дополнительные расходы по обслуживанию заемных денежных средств, является Особым обстоятельствам, судебная коллегия относится критически.</w:t>
      </w:r>
    </w:p>
    <w:p>
      <w:pPr>
        <w:pStyle w:val="0"/>
        <w:spacing w:before="240" w:lineRule="auto"/>
        <w:ind w:firstLine="540"/>
        <w:jc w:val="both"/>
      </w:pPr>
      <w:r>
        <w:rPr>
          <w:sz w:val="24"/>
        </w:rPr>
        <w:t xml:space="preserve">Согласно </w:t>
      </w:r>
      <w:hyperlink w:history="0" r:id="rId45" w:tooltip="&quot;Гражданский кодекс Российской Федерации (часть первая)&quot; от 30.11.1994 N 51-ФЗ (ред. от 08.08.2024, с изм. от 31.10.2024) ------------ Недействующая редакция {КонсультантПлюс}">
        <w:r>
          <w:rPr>
            <w:sz w:val="24"/>
            <w:color w:val="0000ff"/>
          </w:rPr>
          <w:t xml:space="preserve">п. 1 ст. 2</w:t>
        </w:r>
      </w:hyperlink>
      <w:r>
        <w:rPr>
          <w:sz w:val="24"/>
        </w:rPr>
        <w:t xml:space="preserve"> ГК РФ предпринимательской является самостоятельная, осуществляемая на своей риск деятельность, направленная на систематическое получение прибыли от пользования имуществом, продажи товаров, выполнения работ или оказания услуг лицами, зарегистрированными в этом качестве в установленном законом порядке.</w:t>
      </w:r>
    </w:p>
    <w:p>
      <w:pPr>
        <w:pStyle w:val="0"/>
        <w:spacing w:before="240" w:lineRule="auto"/>
        <w:ind w:firstLine="540"/>
        <w:jc w:val="both"/>
      </w:pPr>
      <w:r>
        <w:rPr>
          <w:sz w:val="24"/>
        </w:rPr>
        <w:t xml:space="preserve">Как отмечено в </w:t>
      </w:r>
      <w:hyperlink w:history="0" r:id="rId46" w:tooltip="Постановление Президиума ВАС РФ от 20.11.2012 N 8953/12 по делу N А40-82533/11-12-680 Требование: О взыскании компенсации за нарушение исключительных прав на фотографическое произведение. Обстоятельства: Истец полагает, что ответчик нарушил его исключительные права, осуществив реализацию журнала, в котором без согласия истца было размещено его фотографическое произведение. Решение: Дело направлено в суд на новое рассмотрение, так как с требованием о выплате компенсации к непосредственному изготовителю перио {КонсультантПлюс}">
        <w:r>
          <w:rPr>
            <w:sz w:val="24"/>
            <w:color w:val="0000ff"/>
          </w:rPr>
          <w:t xml:space="preserve">постановлении</w:t>
        </w:r>
      </w:hyperlink>
      <w:r>
        <w:rPr>
          <w:sz w:val="24"/>
        </w:rPr>
        <w:t xml:space="preserve"> Президиума Высшего Арбитражного Суда Российской Федерации от 20.11.2012 N 8953/12, предпринимательская деятельность осуществляется с учетом рисков и возможных негативных последствий, ей присущих.</w:t>
      </w:r>
    </w:p>
    <w:p>
      <w:pPr>
        <w:pStyle w:val="0"/>
        <w:spacing w:before="240" w:lineRule="auto"/>
        <w:ind w:firstLine="540"/>
        <w:jc w:val="both"/>
      </w:pPr>
      <w:r>
        <w:rPr>
          <w:sz w:val="24"/>
        </w:rPr>
        <w:t xml:space="preserve">Лица, занимающиеся предпринимательской деятельностью, несут дополнительный риск, отвечают за неисполнение ими обязательств, связанных с предпринимательской деятельностью, и в том случае, когда нарушение обязательства произошло при обстоятельствах, от них не зависящих.</w:t>
      </w:r>
    </w:p>
    <w:p>
      <w:pPr>
        <w:pStyle w:val="0"/>
        <w:spacing w:before="240" w:lineRule="auto"/>
        <w:ind w:firstLine="540"/>
        <w:jc w:val="both"/>
      </w:pPr>
      <w:r>
        <w:rPr>
          <w:sz w:val="24"/>
        </w:rPr>
        <w:t xml:space="preserve">Согласно общеизвестной информации, содержащейся в открытых источниках, в период 2022 - 2023 годов ключевая ставка неоднократно изменялась, как в сторону уменьшения, так и в сторону увеличения.</w:t>
      </w:r>
    </w:p>
    <w:p>
      <w:pPr>
        <w:pStyle w:val="0"/>
        <w:spacing w:before="240" w:lineRule="auto"/>
        <w:ind w:firstLine="540"/>
        <w:jc w:val="both"/>
      </w:pPr>
      <w:r>
        <w:rPr>
          <w:sz w:val="24"/>
        </w:rPr>
        <w:t xml:space="preserve">Кроме того, изменение ключевой ставки имело место и в предшествующие периоды, в том числе и в момент заключения Кредитного договора с ПАО "Сбербанк".</w:t>
      </w:r>
    </w:p>
    <w:p>
      <w:pPr>
        <w:pStyle w:val="0"/>
        <w:spacing w:before="240" w:lineRule="auto"/>
        <w:ind w:firstLine="540"/>
        <w:jc w:val="both"/>
      </w:pPr>
      <w:r>
        <w:rPr>
          <w:sz w:val="24"/>
        </w:rPr>
        <w:t xml:space="preserve">В соответствии с </w:t>
      </w:r>
      <w:hyperlink w:history="0" r:id="rId47" w:tooltip="&quot;Гражданский кодекс Российской Федерации (часть первая)&quot; от 30.11.1994 N 51-ФЗ (ред. от 08.08.2024, с изм. от 31.10.2024) ------------ Недействующая редакция {КонсультантПлюс}">
        <w:r>
          <w:rPr>
            <w:sz w:val="24"/>
            <w:color w:val="0000ff"/>
          </w:rPr>
          <w:t xml:space="preserve">п. 2 ст. 1</w:t>
        </w:r>
      </w:hyperlink>
      <w:r>
        <w:rPr>
          <w:sz w:val="24"/>
        </w:rPr>
        <w:t xml:space="preserve"> ГК РФ юридические лица приобретают и осуществляют свои гражданские права своей волей и в своем интересе. Они свободны в установлении своих прав и обязанностей на основе договора и в определении любых не противоречащих законодательству условий договора.</w:t>
      </w:r>
    </w:p>
    <w:p>
      <w:pPr>
        <w:pStyle w:val="0"/>
        <w:spacing w:before="240" w:lineRule="auto"/>
        <w:ind w:firstLine="540"/>
        <w:jc w:val="both"/>
      </w:pPr>
      <w:r>
        <w:rPr>
          <w:sz w:val="24"/>
        </w:rPr>
        <w:t xml:space="preserve">Из </w:t>
      </w:r>
      <w:hyperlink w:history="0" r:id="rId48" w:tooltip="&quot;Гражданский кодекс Российской Федерации (часть первая)&quot; от 30.11.1994 N 51-ФЗ (ред. от 08.08.2024, с изм. от 31.10.2024) ------------ Недействующая редакция {КонсультантПлюс}">
        <w:r>
          <w:rPr>
            <w:sz w:val="24"/>
            <w:color w:val="0000ff"/>
          </w:rPr>
          <w:t xml:space="preserve">п. 1 ст. 9</w:t>
        </w:r>
      </w:hyperlink>
      <w:r>
        <w:rPr>
          <w:sz w:val="24"/>
        </w:rPr>
        <w:t xml:space="preserve"> ГК РФ следует, что юридические лица по своему усмотрению осуществляют принадлежащие им гражданские права.</w:t>
      </w:r>
    </w:p>
    <w:p>
      <w:pPr>
        <w:pStyle w:val="0"/>
        <w:spacing w:before="240" w:lineRule="auto"/>
        <w:ind w:firstLine="540"/>
        <w:jc w:val="both"/>
      </w:pPr>
      <w:r>
        <w:rPr>
          <w:sz w:val="24"/>
        </w:rPr>
        <w:t xml:space="preserve">Как следует из материалов дела, заключая с ПАО "Сбербанк" Договор об открытии невозобновляемой кредитной линии N 02980020/86042200 от 12.01.2021, которым размер платы за кредит был поставлен в зависимости от размера ключевой ставки Банка России увеличенной на соответствующие пункты, Общество действовало своей волей и в своем интересе. Доказательств невозможности заключения кредитного договора с иной кредитной организацией, на иных условиях (например, с фиксированной ставкой за кредит), Общество не представляло.</w:t>
      </w:r>
    </w:p>
    <w:p>
      <w:pPr>
        <w:pStyle w:val="0"/>
        <w:spacing w:before="240" w:lineRule="auto"/>
        <w:ind w:firstLine="540"/>
        <w:jc w:val="both"/>
      </w:pPr>
      <w:r>
        <w:rPr>
          <w:sz w:val="24"/>
        </w:rPr>
        <w:t xml:space="preserve">Динамика изменения цен на рынке, динамика изменения курса валюты, ключевой ставки Центрального банка РФ, инфляционные процессы является неотъемлемой частью предпринимательского риска и не относятся к числу обстоятельств, возникновение которых невозможно было предвидеть, поскольку это прогнозируемые экономические явления.</w:t>
      </w:r>
    </w:p>
    <w:p>
      <w:pPr>
        <w:pStyle w:val="0"/>
        <w:spacing w:before="240" w:lineRule="auto"/>
        <w:ind w:firstLine="540"/>
        <w:jc w:val="both"/>
      </w:pPr>
      <w:r>
        <w:rPr>
          <w:sz w:val="24"/>
        </w:rPr>
        <w:t xml:space="preserve">Общество, заключая соответствующий кредитный договор, должно было прогнозировать экономическую ситуацию, в связи с чем не могло исключать вероятность изменения ключевой ставки в период исполнения кредитного договора.</w:t>
      </w:r>
    </w:p>
    <w:p>
      <w:pPr>
        <w:pStyle w:val="0"/>
        <w:spacing w:before="240" w:lineRule="auto"/>
        <w:ind w:firstLine="540"/>
        <w:jc w:val="both"/>
      </w:pPr>
      <w:r>
        <w:rPr>
          <w:sz w:val="24"/>
        </w:rPr>
        <w:t xml:space="preserve">По мнению судебной коллегии, изменение размера ключевой ставки Банка России, с учетом согласования Обществом условий Кредитного договора, в результате чего у концессионера возникли дополнительные расходы по погашению и обслуживанию заемных денежных средств, являются предпринимательскими рисками последнего и не может быть расценено как особое обстоятельство, с возложением соответствующих расходов на концедента.</w:t>
      </w:r>
    </w:p>
    <w:p>
      <w:pPr>
        <w:pStyle w:val="0"/>
        <w:spacing w:before="240" w:lineRule="auto"/>
        <w:ind w:firstLine="540"/>
        <w:jc w:val="both"/>
      </w:pPr>
      <w:r>
        <w:rPr>
          <w:sz w:val="24"/>
        </w:rPr>
        <w:t xml:space="preserve">Кроме того, суды первой и апелляционной инстанций, также не учли следующее.</w:t>
      </w:r>
    </w:p>
    <w:p>
      <w:pPr>
        <w:pStyle w:val="0"/>
        <w:spacing w:before="240" w:lineRule="auto"/>
        <w:ind w:firstLine="540"/>
        <w:jc w:val="both"/>
      </w:pPr>
      <w:r>
        <w:rPr>
          <w:sz w:val="24"/>
        </w:rPr>
        <w:t xml:space="preserve">В п. 9 Постановления Пленума Верховного Суда Российской Федерации от 23.06.2015 N 25 "О применении судами некоторых положений раздела I части первой Гражданского кодекса Российской Федерации" разъяснено, что, в соответствии со </w:t>
      </w:r>
      <w:hyperlink w:history="0" r:id="rId49" w:tooltip="&quot;Арбитражный процессуальный кодекс Российской Федерации&quot; от 24.07.2002 N 95-ФЗ (ред. от 01.04.2025) {КонсультантПлюс}">
        <w:r>
          <w:rPr>
            <w:sz w:val="24"/>
            <w:color w:val="0000ff"/>
          </w:rPr>
          <w:t xml:space="preserve">ст. 133</w:t>
        </w:r>
      </w:hyperlink>
      <w:r>
        <w:rPr>
          <w:sz w:val="24"/>
        </w:rPr>
        <w:t xml:space="preserve"> АПК РФ на стадии подготовки дела к судебному разбирательству суд выносит на обсуждение вопрос о юридической квалификации правоотношения для определения того, какие нормы права подлежат применению при разрешении спора </w:t>
      </w:r>
      <w:hyperlink w:history="0" r:id="rId50" w:tooltip="Постановление Пленума Верховного Суда РФ от 23.06.2015 N 25 &quot;О применении судами некоторых положений раздела I части первой Гражданского кодекса Российской Федерации&quot; {КонсультантПлюс}">
        <w:r>
          <w:rPr>
            <w:sz w:val="24"/>
            <w:color w:val="0000ff"/>
          </w:rPr>
          <w:t xml:space="preserve">(абзац второй)</w:t>
        </w:r>
      </w:hyperlink>
      <w:r>
        <w:rPr>
          <w:sz w:val="24"/>
        </w:rPr>
        <w:t xml:space="preserve">. По смыслу </w:t>
      </w:r>
      <w:hyperlink w:history="0" r:id="rId51" w:tooltip="&quot;Арбитражный процессуальный кодекс Российской Федерации&quot; от 24.07.2002 N 95-ФЗ (ред. от 01.04.2025) {КонсультантПлюс}">
        <w:r>
          <w:rPr>
            <w:sz w:val="24"/>
            <w:color w:val="0000ff"/>
          </w:rPr>
          <w:t xml:space="preserve">ч. 1 ст. 168</w:t>
        </w:r>
      </w:hyperlink>
      <w:r>
        <w:rPr>
          <w:sz w:val="24"/>
        </w:rPr>
        <w:t xml:space="preserve"> АПК РФ суд определяет, какие нормы права следует применить к установленным обстоятельствам. Суд также указывает мотивы, по которым не применил нормы права, на которые ссылались лица, участвующие в деле.</w:t>
      </w:r>
    </w:p>
    <w:p>
      <w:pPr>
        <w:pStyle w:val="0"/>
        <w:spacing w:before="240" w:lineRule="auto"/>
        <w:ind w:firstLine="540"/>
        <w:jc w:val="both"/>
      </w:pPr>
      <w:r>
        <w:rPr>
          <w:sz w:val="24"/>
        </w:rPr>
        <w:t xml:space="preserve">Таким образом, арбитражный суд не связан правовой квалификацией истцом заявленных требований (спорных правоотношений), а должен рассматривать иск исходя из предмета и оснований (фактических обстоятельств), определяя по своей инициативе круг обстоятельств, имеющих значение для разрешения спора и подлежащих исследованию, проверке и установлению по делу, а также решить, какие именно нормы права подлежат применению в конкретном спорном правоотношении.</w:t>
      </w:r>
    </w:p>
    <w:p>
      <w:pPr>
        <w:pStyle w:val="0"/>
        <w:spacing w:before="240" w:lineRule="auto"/>
        <w:ind w:firstLine="540"/>
        <w:jc w:val="both"/>
      </w:pPr>
      <w:r>
        <w:rPr>
          <w:sz w:val="24"/>
        </w:rPr>
        <w:t xml:space="preserve">Следовательно, независимо от правового обоснования иска, суд обязан применить подлежащие применению нормы права с учетом существа заявленного иска, его предмета и основания (фактических обстоятельств, на которые истец ссылается в обоснование требований).</w:t>
      </w:r>
    </w:p>
    <w:p>
      <w:pPr>
        <w:pStyle w:val="0"/>
        <w:spacing w:before="240" w:lineRule="auto"/>
        <w:ind w:firstLine="540"/>
        <w:jc w:val="both"/>
      </w:pPr>
      <w:r>
        <w:rPr>
          <w:sz w:val="24"/>
          <w:highlight w:val="yellow"/>
        </w:rPr>
        <w:t xml:space="preserve">В рассматриваемом случае, заявляя исковые требования о взыскании с концедента дополнительных расходов концессионера в результате наступления особого обстоятельства в рамках Концессионного соглашения от 10.09.2015, Общество, по сути, заявило требование о возмещении возникших у него убытков, в результате исполнения обязательств по Концессионному соглашению.</w:t>
      </w:r>
    </w:p>
    <w:p>
      <w:pPr>
        <w:pStyle w:val="0"/>
        <w:spacing w:before="240" w:lineRule="auto"/>
        <w:ind w:firstLine="540"/>
        <w:jc w:val="both"/>
      </w:pPr>
      <w:r>
        <w:rPr>
          <w:sz w:val="24"/>
          <w:highlight w:val="yellow"/>
        </w:rPr>
        <w:t xml:space="preserve">При этом, в ходе судебного заседания суда округа, на вопрос судебной коллегии о существе заявленного иска, представитель истца указала, что по сути Общество просит взыскать с ответчика убытки, вызванные возникшими особыми обстоятельствами, в результате которых концессионер вынужден был нести дополнительные расходы.</w:t>
      </w:r>
    </w:p>
    <w:p>
      <w:pPr>
        <w:pStyle w:val="0"/>
        <w:spacing w:before="240" w:lineRule="auto"/>
        <w:ind w:firstLine="540"/>
        <w:jc w:val="both"/>
      </w:pPr>
      <w:r>
        <w:rPr>
          <w:sz w:val="24"/>
          <w:highlight w:val="yellow"/>
        </w:rPr>
        <w:t xml:space="preserve">Учитывая вышеизложенное, при рассмотрении настоящего дела, судами не была дана надлежащая квалификация заявленных исковых требований, не определен круг обстоятельств, имеющих значение для разрешения спора и подлежащих исследованию, проверке и установлению по делу, что в совокупности влияет на выводы судов первой и апелляционной инстанций.</w:t>
      </w:r>
    </w:p>
    <w:p>
      <w:pPr>
        <w:pStyle w:val="0"/>
        <w:spacing w:before="240" w:lineRule="auto"/>
        <w:ind w:firstLine="540"/>
        <w:jc w:val="both"/>
      </w:pPr>
      <w:r>
        <w:rPr>
          <w:sz w:val="24"/>
        </w:rPr>
        <w:t xml:space="preserve">Вместе с тем, арбитражные суды первой и апелляционной инстанции, обязаны правильно квалифицировать спорные правоотношения, определить предмет доказывания по делу, сформулировать круг юридически значимых обстоятельств и распределить бремя их доказывания (</w:t>
      </w:r>
      <w:hyperlink w:history="0" r:id="rId52" w:tooltip="&quot;Арбитражный процессуальный кодекс Российской Федерации&quot; от 24.07.2002 N 95-ФЗ (ред. от 01.04.2025) {КонсультантПлюс}">
        <w:r>
          <w:rPr>
            <w:sz w:val="24"/>
            <w:color w:val="0000ff"/>
          </w:rPr>
          <w:t xml:space="preserve">ч. 2 ст. 65</w:t>
        </w:r>
      </w:hyperlink>
      <w:r>
        <w:rPr>
          <w:sz w:val="24"/>
        </w:rPr>
        <w:t xml:space="preserve">, </w:t>
      </w:r>
      <w:hyperlink w:history="0" r:id="rId53" w:tooltip="&quot;Арбитражный процессуальный кодекс Российской Федерации&quot; от 24.07.2002 N 95-ФЗ (ред. от 01.04.2025) {КонсультантПлюс}">
        <w:r>
          <w:rPr>
            <w:sz w:val="24"/>
            <w:color w:val="0000ff"/>
          </w:rPr>
          <w:t xml:space="preserve">ч. 1 ст. 133</w:t>
        </w:r>
      </w:hyperlink>
      <w:r>
        <w:rPr>
          <w:sz w:val="24"/>
        </w:rPr>
        <w:t xml:space="preserve"> АПК РФ, </w:t>
      </w:r>
      <w:hyperlink w:history="0" r:id="rId54" w:tooltip="Постановление Пленума Верховного Суда РФ от 23.12.2021 N 46 &quot;О применении Арбитражного процессуального кодекса Российской Федерации при рассмотрении дел в суде первой инстанции&quot; {КонсультантПлюс}">
        <w:r>
          <w:rPr>
            <w:sz w:val="24"/>
            <w:color w:val="0000ff"/>
          </w:rPr>
          <w:t xml:space="preserve">п. 36</w:t>
        </w:r>
      </w:hyperlink>
      <w:r>
        <w:rPr>
          <w:sz w:val="24"/>
        </w:rPr>
        <w:t xml:space="preserve"> Постановления Пленума Верховного Суда Российской Федерации от 23.12.2021 N 46 "О применении Арбитражного процессуального кодекса Российской Федерации при рассмотрении дел в суде первой инстанции").</w:t>
      </w:r>
    </w:p>
    <w:p>
      <w:pPr>
        <w:pStyle w:val="0"/>
        <w:spacing w:before="240" w:lineRule="auto"/>
        <w:ind w:firstLine="540"/>
        <w:jc w:val="both"/>
      </w:pPr>
      <w:r>
        <w:rPr>
          <w:sz w:val="24"/>
        </w:rPr>
        <w:t xml:space="preserve">Верховный Суд Российской Федерации неоднократно указывал на то, что судебные акты, принятые без исследования всех существенных обстоятельств и доказательств, на которые ссылалась сторона спора, нарушают принципы законности, равноправия и состязательности (определения Верховного Суда Российской Федерации от 28.12.2015 </w:t>
      </w:r>
      <w:hyperlink w:history="0" r:id="rId55" w:tooltip="Определение Судебной коллегии по экономическим спорам Верховного Суда РФ от 28.12.2015 N 308-ЭС15-1607 по делу N А63-4164/2014 Требование: Об установлении требований в рамках соглашений как требований, обеспеченных залогом имущества должника по договору залога, и об установлении требований по договору поручительства, требований в рамках генерального договора о факторинговом обслуживании по договору поручительства. Решение: Обособленный спор направлен на новое рассмотрение в Арбитражный суд, поскольку суды п {КонсультантПлюс}">
        <w:r>
          <w:rPr>
            <w:sz w:val="24"/>
            <w:color w:val="0000ff"/>
          </w:rPr>
          <w:t xml:space="preserve">N 308-ЭС15-1607</w:t>
        </w:r>
      </w:hyperlink>
      <w:r>
        <w:rPr>
          <w:sz w:val="24"/>
        </w:rPr>
        <w:t xml:space="preserve">, от 29.02.2016 </w:t>
      </w:r>
      <w:hyperlink w:history="0" r:id="rId56" w:tooltip="Определение Судебной коллегии по экономическим спорам Верховного Суда РФ от 29.02.2016 по делу N 305-ЭС15-13037, А40-142365/14 Требование: О взыскании денежных средств. Обстоятельства: Истцы ссылаются на то, что имеют за собой право требования возврата любых платежей в случае отказа в страховой выплате по договору перестрахования, пропорционально своим долям через брокера предоставили ответчику денежные средства. Решение: Дело направлено на новое рассмотрение в суд, так как, констатируя ненаступление обязан {КонсультантПлюс}">
        <w:r>
          <w:rPr>
            <w:sz w:val="24"/>
            <w:color w:val="0000ff"/>
          </w:rPr>
          <w:t xml:space="preserve">N 305-ЭС15-13037</w:t>
        </w:r>
      </w:hyperlink>
      <w:r>
        <w:rPr>
          <w:sz w:val="24"/>
        </w:rPr>
        <w:t xml:space="preserve">, от 30.08.2018 </w:t>
      </w:r>
      <w:hyperlink w:history="0" r:id="rId57" w:tooltip="Определение Судебной коллегии по экономическим спорам Верховного Суда РФ от 30.08.2018 N 305-ЭС17-18744(2) по делу N А40-209015/2016 Требование: О включении задолженности по договорам займа в реестр требований кредиторов должника. Решение: Обособленный спор направлен на новое рассмотрение, так как перечисление крупной суммы без письменного договора на нерыночных условиях (без процентов), длительное непринятие мер по возврату денежных средств не могли не вызвать у суда обоснованные сомнения в экономической ц {КонсультантПлюс}">
        <w:r>
          <w:rPr>
            <w:sz w:val="24"/>
            <w:color w:val="0000ff"/>
          </w:rPr>
          <w:t xml:space="preserve">N 305-ЭС17-18744(2)</w:t>
        </w:r>
      </w:hyperlink>
      <w:r>
        <w:rPr>
          <w:sz w:val="24"/>
        </w:rPr>
        <w:t xml:space="preserve">).</w:t>
      </w:r>
    </w:p>
    <w:p>
      <w:pPr>
        <w:pStyle w:val="0"/>
        <w:spacing w:before="240" w:lineRule="auto"/>
        <w:ind w:firstLine="540"/>
        <w:jc w:val="both"/>
      </w:pPr>
      <w:r>
        <w:rPr>
          <w:sz w:val="24"/>
        </w:rPr>
        <w:t xml:space="preserve">Принимаемые арбитражным судом судебные акты должны быть законными, обоснованными и мотивированными (</w:t>
      </w:r>
      <w:hyperlink w:history="0" r:id="rId58" w:tooltip="&quot;Арбитражный процессуальный кодекс Российской Федерации&quot; от 24.07.2002 N 95-ФЗ (ред. от 01.04.2025) {КонсультантПлюс}">
        <w:r>
          <w:rPr>
            <w:sz w:val="24"/>
            <w:color w:val="0000ff"/>
          </w:rPr>
          <w:t xml:space="preserve">ч. 4 ст. 15</w:t>
        </w:r>
      </w:hyperlink>
      <w:r>
        <w:rPr>
          <w:sz w:val="24"/>
        </w:rPr>
        <w:t xml:space="preserve"> АПК РФ), что достигается, помимо прочего, выполнением лицами, участвующими в деле, обязанностей по доказыванию обстоятельств, на которые они ссылаются как на основание своих требований и возражений (</w:t>
      </w:r>
      <w:hyperlink w:history="0" r:id="rId59" w:tooltip="&quot;Арбитражный процессуальный кодекс Российской Федерации&quot; от 24.07.2002 N 95-ФЗ (ред. от 01.04.2025) {КонсультантПлюс}">
        <w:r>
          <w:rPr>
            <w:sz w:val="24"/>
            <w:color w:val="0000ff"/>
          </w:rPr>
          <w:t xml:space="preserve">статьи 8</w:t>
        </w:r>
      </w:hyperlink>
      <w:r>
        <w:rPr>
          <w:sz w:val="24"/>
        </w:rPr>
        <w:t xml:space="preserve">, </w:t>
      </w:r>
      <w:hyperlink w:history="0" r:id="rId60" w:tooltip="&quot;Арбитражный процессуальный кодекс Российской Федерации&quot; от 24.07.2002 N 95-ФЗ (ред. от 01.04.2025) {КонсультантПлюс}">
        <w:r>
          <w:rPr>
            <w:sz w:val="24"/>
            <w:color w:val="0000ff"/>
          </w:rPr>
          <w:t xml:space="preserve">9</w:t>
        </w:r>
      </w:hyperlink>
      <w:r>
        <w:rPr>
          <w:sz w:val="24"/>
        </w:rPr>
        <w:t xml:space="preserve">, </w:t>
      </w:r>
      <w:hyperlink w:history="0" r:id="rId61" w:tooltip="&quot;Арбитражный процессуальный кодекс Российской Федерации&quot; от 24.07.2002 N 95-ФЗ (ред. от 01.04.2025) {КонсультантПлюс}">
        <w:r>
          <w:rPr>
            <w:sz w:val="24"/>
            <w:color w:val="0000ff"/>
          </w:rPr>
          <w:t xml:space="preserve">65</w:t>
        </w:r>
      </w:hyperlink>
      <w:r>
        <w:rPr>
          <w:sz w:val="24"/>
        </w:rPr>
        <w:t xml:space="preserve"> АПК РФ), а также соответствовать предъявляемым законом требованиям к их принятию, разрешаемым вопросам, изложению и содержанию (</w:t>
      </w:r>
      <w:hyperlink w:history="0" r:id="rId62" w:tooltip="&quot;Арбитражный процессуальный кодекс Российской Федерации&quot; от 24.07.2002 N 95-ФЗ (ред. от 01.04.2025) {КонсультантПлюс}">
        <w:r>
          <w:rPr>
            <w:sz w:val="24"/>
            <w:color w:val="0000ff"/>
          </w:rPr>
          <w:t xml:space="preserve">статьи 167</w:t>
        </w:r>
      </w:hyperlink>
      <w:r>
        <w:rPr>
          <w:sz w:val="24"/>
        </w:rPr>
        <w:t xml:space="preserve"> - </w:t>
      </w:r>
      <w:hyperlink w:history="0" r:id="rId63" w:tooltip="&quot;Арбитражный процессуальный кодекс Российской Федерации&quot; от 24.07.2002 N 95-ФЗ (ред. от 01.04.2025) {КонсультантПлюс}">
        <w:r>
          <w:rPr>
            <w:sz w:val="24"/>
            <w:color w:val="0000ff"/>
          </w:rPr>
          <w:t xml:space="preserve">170</w:t>
        </w:r>
      </w:hyperlink>
      <w:r>
        <w:rPr>
          <w:sz w:val="24"/>
        </w:rPr>
        <w:t xml:space="preserve"> АПК РФ).</w:t>
      </w:r>
    </w:p>
    <w:p>
      <w:pPr>
        <w:pStyle w:val="0"/>
        <w:spacing w:before="240" w:lineRule="auto"/>
        <w:ind w:firstLine="540"/>
        <w:jc w:val="both"/>
      </w:pPr>
      <w:r>
        <w:rPr>
          <w:sz w:val="24"/>
        </w:rPr>
        <w:t xml:space="preserve">В связи с тем, что суды, рассматривающие настоящий спор, дали неполную оценку представленным сторонами доказательствам, сделали выводы без выяснения всех существенных для разрешения настоящего спора обстоятельств, без исследования и оценки доводов сторон, обжалуемые судебные акты по настоящему делу нельзя признать законными и обоснованными.</w:t>
      </w:r>
    </w:p>
    <w:p>
      <w:pPr>
        <w:pStyle w:val="0"/>
        <w:spacing w:before="240" w:lineRule="auto"/>
        <w:ind w:firstLine="540"/>
        <w:jc w:val="both"/>
      </w:pPr>
      <w:r>
        <w:rPr>
          <w:sz w:val="24"/>
        </w:rPr>
        <w:t xml:space="preserve">Поскольку для разрешения настоящего спора суду необходимо исследовать и оценить доказательства с целью установления всех обстоятельств, входящих в предмет доказывания по настоящему делу, а суд кассационной инстанции в силу </w:t>
      </w:r>
      <w:hyperlink w:history="0" r:id="rId64" w:tooltip="&quot;Арбитражный процессуальный кодекс Российской Федерации&quot; от 24.07.2002 N 95-ФЗ (ред. от 01.04.2025) {КонсультантПлюс}">
        <w:r>
          <w:rPr>
            <w:sz w:val="24"/>
            <w:color w:val="0000ff"/>
          </w:rPr>
          <w:t xml:space="preserve">ст. 286</w:t>
        </w:r>
      </w:hyperlink>
      <w:r>
        <w:rPr>
          <w:sz w:val="24"/>
        </w:rPr>
        <w:t xml:space="preserve">, </w:t>
      </w:r>
      <w:hyperlink w:history="0" r:id="rId65" w:tooltip="&quot;Арбитражный процессуальный кодекс Российской Федерации&quot; от 24.07.2002 N 95-ФЗ (ред. от 01.04.2025) {КонсультантПлюс}">
        <w:r>
          <w:rPr>
            <w:sz w:val="24"/>
            <w:color w:val="0000ff"/>
          </w:rPr>
          <w:t xml:space="preserve">ч. 2 ст. 287</w:t>
        </w:r>
      </w:hyperlink>
      <w:r>
        <w:rPr>
          <w:sz w:val="24"/>
        </w:rPr>
        <w:t xml:space="preserve"> АПК РФ такими полномочиями не наделен, обжалуемые </w:t>
      </w:r>
      <w:hyperlink w:history="0" r:id="rId66" w:tooltip="Решение Арбитражного суда Тульской области от 07.03.2025 по делу N А68-9338/2024 Требование: О взыскании дополнительных расходов концессионера в результате наступления особого обстоятельства в рамках концессионного соглашения в отношении объектов теплоснабжения и горячего водоснабжения. Решение: Требование удовлетворено. ------------ Утратил силу или отменен {КонсультантПлюс}">
        <w:r>
          <w:rPr>
            <w:sz w:val="24"/>
            <w:color w:val="0000ff"/>
          </w:rPr>
          <w:t xml:space="preserve">решение</w:t>
        </w:r>
      </w:hyperlink>
      <w:r>
        <w:rPr>
          <w:sz w:val="24"/>
        </w:rPr>
        <w:t xml:space="preserve"> и </w:t>
      </w:r>
      <w:hyperlink w:history="0" r:id="rId67" w:tooltip="Постановление Двадцатого арбитражного апелляционного суда от 04.08.2025 N 20АП-1562/2025, 20АП-1627/2025 по делу N А68-9338/2024 Требование: О взыскании дополнительных расходов по концессионному соглашению в отношении объектов теплоснабжения и горячего водоснабжения. Решение: Требование удовлетворено. ------------ Утратил силу или отменен {КонсультантПлюс}">
        <w:r>
          <w:rPr>
            <w:sz w:val="24"/>
            <w:color w:val="0000ff"/>
          </w:rPr>
          <w:t xml:space="preserve">постановление</w:t>
        </w:r>
      </w:hyperlink>
      <w:r>
        <w:rPr>
          <w:sz w:val="24"/>
        </w:rPr>
        <w:t xml:space="preserve"> судов по настоящему делу подлежат отмене на основании </w:t>
      </w:r>
      <w:hyperlink w:history="0" r:id="rId68" w:tooltip="&quot;Арбитражный процессуальный кодекс Российской Федерации&quot; от 24.07.2002 N 95-ФЗ (ред. от 01.04.2025) {КонсультантПлюс}">
        <w:r>
          <w:rPr>
            <w:sz w:val="24"/>
            <w:color w:val="0000ff"/>
          </w:rPr>
          <w:t xml:space="preserve">ч. 1 ст. 288</w:t>
        </w:r>
      </w:hyperlink>
      <w:r>
        <w:rPr>
          <w:sz w:val="24"/>
        </w:rPr>
        <w:t xml:space="preserve"> АПК РФ с направлением дела на новое рассмотрение в соответствии с </w:t>
      </w:r>
      <w:hyperlink w:history="0" r:id="rId69" w:tooltip="&quot;Арбитражный процессуальный кодекс Российской Федерации&quot; от 24.07.2002 N 95-ФЗ (ред. от 01.04.2025) {КонсультантПлюс}">
        <w:r>
          <w:rPr>
            <w:sz w:val="24"/>
            <w:color w:val="0000ff"/>
          </w:rPr>
          <w:t xml:space="preserve">п. 3 ч. 1 ст. 287</w:t>
        </w:r>
      </w:hyperlink>
      <w:r>
        <w:rPr>
          <w:sz w:val="24"/>
        </w:rPr>
        <w:t xml:space="preserve"> АПК РФ в суд первой инстанции.</w:t>
      </w:r>
    </w:p>
    <w:p>
      <w:pPr>
        <w:pStyle w:val="0"/>
        <w:spacing w:before="240" w:lineRule="auto"/>
        <w:ind w:firstLine="540"/>
        <w:jc w:val="both"/>
      </w:pPr>
      <w:r>
        <w:rPr>
          <w:sz w:val="24"/>
          <w:highlight w:val="yellow"/>
        </w:rPr>
        <w:t xml:space="preserve">При новом рассмотрении дела суду необходимо учесть вышеизложенное, исследовать все существенные для правильного рассмотрения дела обстоятельства, дать надлежащую правовую оценку всем имеющимся в материалах дела доказательствам и доводам сторон с учетом норм права подлежащих применению, разрешить спор по существу, приняв законный и обоснованный судебный акт.</w:t>
      </w:r>
    </w:p>
    <w:p>
      <w:pPr>
        <w:pStyle w:val="0"/>
        <w:spacing w:before="240" w:lineRule="auto"/>
        <w:ind w:firstLine="540"/>
        <w:jc w:val="both"/>
      </w:pPr>
      <w:r>
        <w:rPr>
          <w:sz w:val="24"/>
        </w:rPr>
        <w:t xml:space="preserve">Исходя из содержания </w:t>
      </w:r>
      <w:hyperlink w:history="0" r:id="rId70" w:tooltip="&quot;Арбитражный процессуальный кодекс Российской Федерации&quot; от 24.07.2002 N 95-ФЗ (ред. от 01.04.2025) {КонсультантПлюс}">
        <w:r>
          <w:rPr>
            <w:sz w:val="24"/>
            <w:color w:val="0000ff"/>
          </w:rPr>
          <w:t xml:space="preserve">ч. 3 ст. 289</w:t>
        </w:r>
      </w:hyperlink>
      <w:r>
        <w:rPr>
          <w:sz w:val="24"/>
        </w:rPr>
        <w:t xml:space="preserve"> АПК РФ, с учетом разъяснений, данных в </w:t>
      </w:r>
      <w:hyperlink w:history="0" r:id="rId71" w:tooltip="Постановление Пленума Верховного Суда РФ от 30.06.2020 N 13 &quot;О применении Арбитражного процессуального кодекса Российской Федерации при рассмотрении дел в арбитражном суде кассационной инстанции&quot; {КонсультантПлюс}">
        <w:r>
          <w:rPr>
            <w:sz w:val="24"/>
            <w:color w:val="0000ff"/>
          </w:rPr>
          <w:t xml:space="preserve">п. 41</w:t>
        </w:r>
      </w:hyperlink>
      <w:r>
        <w:rPr>
          <w:sz w:val="24"/>
        </w:rPr>
        <w:t xml:space="preserve"> постановления Пленума Верховного Суда РФ от 30.06.2020 N 13 "О применении Арбитражного процессуального кодекса Российской Федерации при рассмотрении дел в арбитражном суде кассационной инстанции", при отмене судебного акта с передачей дела на новое рассмотрение вопрос о распределении судебных расходов разрешается арбитражным судом, вновь рассматривающим дело. При этом применяется порядок распределения судебных расходов, установленный </w:t>
      </w:r>
      <w:hyperlink w:history="0" r:id="rId72" w:tooltip="&quot;Арбитражный процессуальный кодекс Российской Федерации&quot; от 24.07.2002 N 95-ФЗ (ред. от 01.04.2025) {КонсультантПлюс}">
        <w:r>
          <w:rPr>
            <w:sz w:val="24"/>
            <w:color w:val="0000ff"/>
          </w:rPr>
          <w:t xml:space="preserve">ст. 110</w:t>
        </w:r>
      </w:hyperlink>
      <w:r>
        <w:rPr>
          <w:sz w:val="24"/>
        </w:rPr>
        <w:t xml:space="preserve"> АПК РФ.</w:t>
      </w:r>
    </w:p>
    <w:p>
      <w:pPr>
        <w:pStyle w:val="0"/>
        <w:spacing w:before="240" w:lineRule="auto"/>
        <w:ind w:firstLine="540"/>
        <w:jc w:val="both"/>
      </w:pPr>
      <w:r>
        <w:rPr>
          <w:sz w:val="24"/>
        </w:rPr>
        <w:t xml:space="preserve">Руководствуясь </w:t>
      </w:r>
      <w:hyperlink w:history="0" r:id="rId73" w:tooltip="&quot;Арбитражный процессуальный кодекс Российской Федерации&quot; от 24.07.2002 N 95-ФЗ (ред. от 01.04.2025) {КонсультантПлюс}">
        <w:r>
          <w:rPr>
            <w:sz w:val="24"/>
            <w:color w:val="0000ff"/>
          </w:rPr>
          <w:t xml:space="preserve">п. 3 ч. 1 ст. 287</w:t>
        </w:r>
      </w:hyperlink>
      <w:r>
        <w:rPr>
          <w:sz w:val="24"/>
        </w:rPr>
        <w:t xml:space="preserve">, </w:t>
      </w:r>
      <w:hyperlink w:history="0" r:id="rId74" w:tooltip="&quot;Арбитражный процессуальный кодекс Российской Федерации&quot; от 24.07.2002 N 95-ФЗ (ред. от 01.04.2025) {КонсультантПлюс}">
        <w:r>
          <w:rPr>
            <w:sz w:val="24"/>
            <w:color w:val="0000ff"/>
          </w:rPr>
          <w:t xml:space="preserve">ст. 288</w:t>
        </w:r>
      </w:hyperlink>
      <w:r>
        <w:rPr>
          <w:sz w:val="24"/>
        </w:rPr>
        <w:t xml:space="preserve">, </w:t>
      </w:r>
      <w:hyperlink w:history="0" r:id="rId75" w:tooltip="&quot;Арбитражный процессуальный кодекс Российской Федерации&quot; от 24.07.2002 N 95-ФЗ (ред. от 01.04.2025) {КонсультантПлюс}">
        <w:r>
          <w:rPr>
            <w:sz w:val="24"/>
            <w:color w:val="0000ff"/>
          </w:rPr>
          <w:t xml:space="preserve">ст. 289</w:t>
        </w:r>
      </w:hyperlink>
      <w:r>
        <w:rPr>
          <w:sz w:val="24"/>
        </w:rPr>
        <w:t xml:space="preserve"> Арбитражного процессуального кодекса Российской Федерации, суд</w:t>
      </w:r>
    </w:p>
    <w:p>
      <w:pPr>
        <w:pStyle w:val="0"/>
        <w:jc w:val="center"/>
      </w:pPr>
      <w:r>
        <w:rPr>
          <w:sz w:val="24"/>
        </w:rPr>
      </w:r>
    </w:p>
    <w:p>
      <w:pPr>
        <w:pStyle w:val="0"/>
        <w:jc w:val="center"/>
      </w:pPr>
      <w:r>
        <w:rPr>
          <w:sz w:val="24"/>
        </w:rPr>
        <w:t xml:space="preserve">постановил:</w:t>
      </w:r>
    </w:p>
    <w:p>
      <w:pPr>
        <w:pStyle w:val="0"/>
        <w:jc w:val="center"/>
      </w:pPr>
      <w:r>
        <w:rPr>
          <w:sz w:val="24"/>
        </w:rPr>
      </w:r>
    </w:p>
    <w:p>
      <w:pPr>
        <w:pStyle w:val="0"/>
        <w:ind w:firstLine="540"/>
        <w:jc w:val="both"/>
      </w:pPr>
      <w:hyperlink w:history="0" r:id="rId76" w:tooltip="Решение Арбитражного суда Тульской области от 07.03.2025 по делу N А68-9338/2024 Требование: О взыскании дополнительных расходов концессионера в результате наступления особого обстоятельства в рамках концессионного соглашения в отношении объектов теплоснабжения и горячего водоснабжения. Решение: Требование удовлетворено. ------------ Утратил силу или отменен {КонсультантПлюс}">
        <w:r>
          <w:rPr>
            <w:sz w:val="24"/>
            <w:color w:val="0000ff"/>
          </w:rPr>
          <w:t xml:space="preserve">Решение</w:t>
        </w:r>
      </w:hyperlink>
      <w:r>
        <w:rPr>
          <w:sz w:val="24"/>
        </w:rPr>
        <w:t xml:space="preserve"> Арбитражного суда Тульской области от 07.03.2025 и </w:t>
      </w:r>
      <w:hyperlink w:history="0" r:id="rId77" w:tooltip="Постановление Двадцатого арбитражного апелляционного суда от 04.08.2025 N 20АП-1562/2025, 20АП-1627/2025 по делу N А68-9338/2024 Требование: О взыскании дополнительных расходов по концессионному соглашению в отношении объектов теплоснабжения и горячего водоснабжения. Решение: Требование удовлетворено. ------------ Утратил силу или отменен {КонсультантПлюс}">
        <w:r>
          <w:rPr>
            <w:sz w:val="24"/>
            <w:color w:val="0000ff"/>
          </w:rPr>
          <w:t xml:space="preserve">постановление</w:t>
        </w:r>
      </w:hyperlink>
      <w:r>
        <w:rPr>
          <w:sz w:val="24"/>
        </w:rPr>
        <w:t xml:space="preserve"> Двадцатого арбитражного апелляционного суда от 04.08.2025 по делу N А68-9338/2024 отменить, дело направить на новое рассмотрение в Арбитражный суд Тульской области.</w:t>
      </w:r>
    </w:p>
    <w:p>
      <w:pPr>
        <w:pStyle w:val="0"/>
        <w:spacing w:before="240" w:lineRule="auto"/>
        <w:ind w:firstLine="540"/>
        <w:jc w:val="both"/>
      </w:pPr>
      <w:r>
        <w:rPr>
          <w:sz w:val="24"/>
        </w:rPr>
        <w:t xml:space="preserve">Постановление вступает в законную силу со дня его принятия и может быть обжаловано в Судебную коллегию Верховного Суда Российской Федерации в срок, не превышающий двух месяцев со дня его принятия, в порядке, предусмотренном </w:t>
      </w:r>
      <w:hyperlink w:history="0" r:id="rId78" w:tooltip="&quot;Арбитражный процессуальный кодекс Российской Федерации&quot; от 24.07.2002 N 95-ФЗ (ред. от 01.04.2025) {КонсультантПлюс}">
        <w:r>
          <w:rPr>
            <w:sz w:val="24"/>
            <w:color w:val="0000ff"/>
          </w:rPr>
          <w:t xml:space="preserve">ст. 291.1</w:t>
        </w:r>
      </w:hyperlink>
      <w:r>
        <w:rPr>
          <w:sz w:val="24"/>
        </w:rPr>
        <w:t xml:space="preserve"> Арбитражного процессуального кодекса Российской Федерации.</w:t>
      </w:r>
    </w:p>
    <w:p>
      <w:pPr>
        <w:pStyle w:val="0"/>
        <w:ind w:firstLine="540"/>
        <w:jc w:val="both"/>
      </w:pPr>
      <w:r>
        <w:rPr>
          <w:sz w:val="24"/>
        </w:rPr>
      </w:r>
    </w:p>
    <w:p>
      <w:pPr>
        <w:pStyle w:val="0"/>
        <w:jc w:val="right"/>
      </w:pPr>
      <w:r>
        <w:rPr>
          <w:sz w:val="24"/>
        </w:rPr>
        <w:t xml:space="preserve">Председательствующий</w:t>
      </w:r>
    </w:p>
    <w:p>
      <w:pPr>
        <w:pStyle w:val="0"/>
        <w:jc w:val="right"/>
      </w:pPr>
      <w:r>
        <w:rPr>
          <w:sz w:val="24"/>
        </w:rPr>
        <w:t xml:space="preserve">А.П.МОРОЗОВ</w:t>
      </w:r>
    </w:p>
    <w:p>
      <w:pPr>
        <w:pStyle w:val="0"/>
        <w:jc w:val="right"/>
      </w:pPr>
      <w:r>
        <w:rPr>
          <w:sz w:val="24"/>
        </w:rPr>
      </w:r>
    </w:p>
    <w:p>
      <w:pPr>
        <w:pStyle w:val="0"/>
        <w:jc w:val="right"/>
      </w:pPr>
      <w:r>
        <w:rPr>
          <w:sz w:val="24"/>
        </w:rPr>
        <w:t xml:space="preserve">Судьи</w:t>
      </w:r>
    </w:p>
    <w:p>
      <w:pPr>
        <w:pStyle w:val="0"/>
        <w:jc w:val="right"/>
      </w:pPr>
      <w:r>
        <w:rPr>
          <w:sz w:val="24"/>
        </w:rPr>
        <w:t xml:space="preserve">Ю.И.СИДОРОВА</w:t>
      </w:r>
    </w:p>
    <w:p>
      <w:pPr>
        <w:pStyle w:val="0"/>
        <w:jc w:val="right"/>
      </w:pPr>
      <w:r>
        <w:rPr>
          <w:sz w:val="24"/>
        </w:rPr>
        <w:t xml:space="preserve">М.В.ШИЛЬНЕНКОВА</w:t>
      </w:r>
    </w:p>
    <w:p>
      <w:pPr>
        <w:pStyle w:val="0"/>
        <w:ind w:firstLine="540"/>
        <w:jc w:val="both"/>
      </w:pPr>
      <w:r>
        <w:rPr>
          <w:sz w:val="24"/>
        </w:rPr>
      </w:r>
    </w:p>
    <w:p>
      <w:pPr>
        <w:pStyle w:val="0"/>
        <w:ind w:firstLine="540"/>
        <w:jc w:val="both"/>
      </w:pPr>
      <w:r>
        <w:rPr>
          <w:sz w:val="24"/>
        </w:rPr>
      </w:r>
    </w:p>
    <w:p>
      <w:pPr>
        <w:pStyle w:val="0"/>
        <w:jc w:val="both"/>
        <w:pBdr>
          <w:bottom w:val="single" w:sz="6" w:space="0" w:color="auto"/>
        </w:pBdr>
        <w:spacing w:before="100" w:after="100"/>
        <w:rPr>
          <w:sz w:val="2"/>
          <w:szCs w:val="2"/>
        </w:rPr>
      </w:pPr>
    </w:p>
    <w:sectPr>
      <w:headerReference w:type="default" r:id="rId3"/>
      <w:headerReference w:type="first" r:id="rId4"/>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Арбитражного суда Центрального округа от 27.11.2025 N Ф10-2856/2025 по делу N А68-9338/2024</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16.12.2025</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drawing>
              <wp:inline distT="0" distB="0" distL="0" distR="0">
                <wp:extent cx="1910715" cy="4457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1910715" cy="445770"/>
                        </a:xfrm>
                        <a:prstGeom prst="rect">
                          <a:avLst/>
                        </a:prstGeom>
                        <a:noFill/>
                        <a:ln>
                          <a:noFill/>
                        </a:ln>
                      </pic:spPr>
                    </pic:pic>
                  </a:graphicData>
                </a:graphic>
              </wp:inline>
            </w:drawing>
          </w:r>
          <w:r>
            <w:rPr>
              <w:rFonts w:ascii="Tahoma" w:hAnsi="Tahoma" w:cs="Tahoma"/>
              <w:sz w:val="18"/>
              <w:szCs w:val="18"/>
            </w:rPr>
            <w:br/>
          </w:r>
          <w:r>
            <w:rPr>
              <w:rFonts w:ascii="Tahoma" w:hAnsi="Tahoma" w:cs="Tahoma"/>
              <w:sz w:val="16"/>
              <w:szCs w:val="16"/>
            </w:rPr>
            <w:t>Постановление Арбитражного суда Центрального округа от 27.11.2025 N Ф10-2856/2025 по делу N А68-9338/2024</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16.12.2025</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word/settings.xml"/><Relationship Id="rId2" Type="http://schemas.openxmlformats.org/officeDocument/2006/relationships/styles" Target="styles.xm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image" Target="media/image1.png"/><Relationship Id="rId6" Type="http://schemas.openxmlformats.org/officeDocument/2006/relationships/footer" Target="footer1.xml"/><Relationship Id="rId7" Type="http://schemas.openxmlformats.org/officeDocument/2006/relationships/hyperlink" Target="https://login.consultant.ru/link/?req=doc&amp;base=ASCN&amp;n=2967617&amp;date=16.12.2025" TargetMode = "External"/><Relationship Id="rId8" Type="http://schemas.openxmlformats.org/officeDocument/2006/relationships/hyperlink" Target="https://login.consultant.ru/link/?req=doc&amp;base=RAPS020&amp;n=111011&amp;date=16.12.2025" TargetMode = "External"/><Relationship Id="rId9" Type="http://schemas.openxmlformats.org/officeDocument/2006/relationships/hyperlink" Target="https://login.consultant.ru/link/?req=doc&amp;base=ASCN&amp;n=2967617&amp;date=16.12.2025" TargetMode = "External"/><Relationship Id="rId10" Type="http://schemas.openxmlformats.org/officeDocument/2006/relationships/hyperlink" Target="https://login.consultant.ru/link/?req=doc&amp;base=RAPS020&amp;n=111011&amp;date=16.12.2025" TargetMode = "External"/><Relationship Id="rId11" Type="http://schemas.openxmlformats.org/officeDocument/2006/relationships/hyperlink" Target="https://login.consultant.ru/link/?req=doc&amp;base=ASCN&amp;n=2967617&amp;date=16.12.2025" TargetMode = "External"/><Relationship Id="rId12" Type="http://schemas.openxmlformats.org/officeDocument/2006/relationships/hyperlink" Target="https://login.consultant.ru/link/?req=doc&amp;base=LAW&amp;n=502254&amp;date=16.12.2025&amp;dst=691&amp;field=134" TargetMode = "External"/><Relationship Id="rId13" Type="http://schemas.openxmlformats.org/officeDocument/2006/relationships/hyperlink" Target="https://login.consultant.ru/link/?req=doc&amp;base=LAW&amp;n=211895&amp;date=16.12.2025" TargetMode = "External"/><Relationship Id="rId14" Type="http://schemas.openxmlformats.org/officeDocument/2006/relationships/hyperlink" Target="https://login.consultant.ru/link/?req=doc&amp;base=LAW&amp;n=493666&amp;date=16.12.2025" TargetMode = "External"/><Relationship Id="rId15" Type="http://schemas.openxmlformats.org/officeDocument/2006/relationships/hyperlink" Target="https://login.consultant.ru/link/?req=doc&amp;base=LAW&amp;n=482692&amp;date=16.12.2025&amp;dst=101540&amp;field=134" TargetMode = "External"/><Relationship Id="rId16" Type="http://schemas.openxmlformats.org/officeDocument/2006/relationships/hyperlink" Target="https://login.consultant.ru/link/?req=doc&amp;base=LAW&amp;n=482692&amp;date=16.12.2025&amp;dst=10513&amp;field=134" TargetMode = "External"/><Relationship Id="rId17" Type="http://schemas.openxmlformats.org/officeDocument/2006/relationships/hyperlink" Target="https://login.consultant.ru/link/?req=doc&amp;base=LAW&amp;n=492049&amp;date=16.12.2025" TargetMode = "External"/><Relationship Id="rId18" Type="http://schemas.openxmlformats.org/officeDocument/2006/relationships/hyperlink" Target="https://login.consultant.ru/link/?req=doc&amp;base=LAW&amp;n=483239&amp;date=16.12.2025" TargetMode = "External"/><Relationship Id="rId19" Type="http://schemas.openxmlformats.org/officeDocument/2006/relationships/hyperlink" Target="https://login.consultant.ru/link/?req=doc&amp;base=LAW&amp;n=493666&amp;date=16.12.2025" TargetMode = "External"/><Relationship Id="rId20" Type="http://schemas.openxmlformats.org/officeDocument/2006/relationships/hyperlink" Target="https://login.consultant.ru/link/?req=doc&amp;base=LAW&amp;n=493666&amp;date=16.12.2025&amp;dst=100030&amp;field=134" TargetMode = "External"/><Relationship Id="rId21" Type="http://schemas.openxmlformats.org/officeDocument/2006/relationships/hyperlink" Target="https://login.consultant.ru/link/?req=doc&amp;base=LAW&amp;n=508555&amp;date=16.12.2025&amp;dst=100015&amp;field=134" TargetMode = "External"/><Relationship Id="rId22" Type="http://schemas.openxmlformats.org/officeDocument/2006/relationships/hyperlink" Target="https://login.consultant.ru/link/?req=doc&amp;base=LAW&amp;n=482692&amp;date=16.12.2025&amp;dst=101540&amp;field=134" TargetMode = "External"/><Relationship Id="rId23" Type="http://schemas.openxmlformats.org/officeDocument/2006/relationships/hyperlink" Target="https://login.consultant.ru/link/?req=doc&amp;base=LAW&amp;n=482692&amp;date=16.12.2025&amp;dst=10513&amp;field=134" TargetMode = "External"/><Relationship Id="rId24" Type="http://schemas.openxmlformats.org/officeDocument/2006/relationships/hyperlink" Target="https://login.consultant.ru/link/?req=doc&amp;base=LAW&amp;n=482692&amp;date=16.12.2025&amp;dst=101990&amp;field=134" TargetMode = "External"/><Relationship Id="rId25" Type="http://schemas.openxmlformats.org/officeDocument/2006/relationships/hyperlink" Target="https://login.consultant.ru/link/?req=doc&amp;base=LAW&amp;n=482692&amp;date=16.12.2025&amp;dst=101994&amp;field=134" TargetMode = "External"/><Relationship Id="rId26" Type="http://schemas.openxmlformats.org/officeDocument/2006/relationships/hyperlink" Target="https://login.consultant.ru/link/?req=doc&amp;base=LAW&amp;n=482692&amp;date=16.12.2025&amp;dst=101997&amp;field=134" TargetMode = "External"/><Relationship Id="rId27" Type="http://schemas.openxmlformats.org/officeDocument/2006/relationships/hyperlink" Target="https://login.consultant.ru/link/?req=doc&amp;base=LAW&amp;n=482692&amp;date=16.12.2025&amp;dst=101998&amp;field=134" TargetMode = "External"/><Relationship Id="rId28" Type="http://schemas.openxmlformats.org/officeDocument/2006/relationships/hyperlink" Target="https://login.consultant.ru/link/?req=doc&amp;base=LAW&amp;n=482692&amp;date=16.12.2025&amp;dst=101999&amp;field=134" TargetMode = "External"/><Relationship Id="rId29" Type="http://schemas.openxmlformats.org/officeDocument/2006/relationships/hyperlink" Target="https://login.consultant.ru/link/?req=doc&amp;base=LAW&amp;n=483239&amp;date=16.12.2025&amp;dst=100477&amp;field=134" TargetMode = "External"/><Relationship Id="rId30" Type="http://schemas.openxmlformats.org/officeDocument/2006/relationships/hyperlink" Target="https://login.consultant.ru/link/?req=doc&amp;base=LAW&amp;n=483239&amp;date=16.12.2025" TargetMode = "External"/><Relationship Id="rId31" Type="http://schemas.openxmlformats.org/officeDocument/2006/relationships/hyperlink" Target="https://login.consultant.ru/link/?req=doc&amp;base=LAW&amp;n=492049&amp;date=16.12.2025" TargetMode = "External"/><Relationship Id="rId32" Type="http://schemas.openxmlformats.org/officeDocument/2006/relationships/hyperlink" Target="https://login.consultant.ru/link/?req=doc&amp;base=LAW&amp;n=492049&amp;date=16.12.2025&amp;dst=100565&amp;field=134" TargetMode = "External"/><Relationship Id="rId33" Type="http://schemas.openxmlformats.org/officeDocument/2006/relationships/hyperlink" Target="https://login.consultant.ru/link/?req=doc&amp;base=LAW&amp;n=492049&amp;date=16.12.2025&amp;dst=100017&amp;field=134" TargetMode = "External"/><Relationship Id="rId34" Type="http://schemas.openxmlformats.org/officeDocument/2006/relationships/hyperlink" Target="https://login.consultant.ru/link/?req=doc&amp;base=LAW&amp;n=492049&amp;date=16.12.2025&amp;dst=239&amp;field=134" TargetMode = "External"/><Relationship Id="rId35" Type="http://schemas.openxmlformats.org/officeDocument/2006/relationships/hyperlink" Target="https://login.consultant.ru/link/?req=doc&amp;base=LAW&amp;n=492049&amp;date=16.12.2025&amp;dst=100027&amp;field=134" TargetMode = "External"/><Relationship Id="rId36" Type="http://schemas.openxmlformats.org/officeDocument/2006/relationships/hyperlink" Target="https://login.consultant.ru/link/?req=doc&amp;base=LAW&amp;n=482692&amp;date=16.12.2025&amp;dst=102009&amp;field=134" TargetMode = "External"/><Relationship Id="rId37" Type="http://schemas.openxmlformats.org/officeDocument/2006/relationships/hyperlink" Target="https://login.consultant.ru/link/?req=doc&amp;base=LAW&amp;n=482692&amp;date=16.12.2025&amp;dst=102127&amp;field=134" TargetMode = "External"/><Relationship Id="rId38" Type="http://schemas.openxmlformats.org/officeDocument/2006/relationships/hyperlink" Target="https://login.consultant.ru/link/?req=doc&amp;base=LAW&amp;n=482692&amp;date=16.12.2025&amp;dst=10850&amp;field=134" TargetMode = "External"/><Relationship Id="rId39" Type="http://schemas.openxmlformats.org/officeDocument/2006/relationships/hyperlink" Target="https://login.consultant.ru/link/?req=doc&amp;base=LAW&amp;n=482692&amp;date=16.12.2025&amp;dst=102147&amp;field=134" TargetMode = "External"/><Relationship Id="rId40" Type="http://schemas.openxmlformats.org/officeDocument/2006/relationships/hyperlink" Target="https://login.consultant.ru/link/?req=doc&amp;base=LAW&amp;n=482692&amp;date=16.12.2025&amp;dst=102305&amp;field=134" TargetMode = "External"/><Relationship Id="rId41" Type="http://schemas.openxmlformats.org/officeDocument/2006/relationships/hyperlink" Target="https://login.consultant.ru/link/?req=doc&amp;base=LAW&amp;n=216093&amp;date=16.12.2025&amp;dst=100187&amp;field=134" TargetMode = "External"/><Relationship Id="rId42" Type="http://schemas.openxmlformats.org/officeDocument/2006/relationships/hyperlink" Target="https://login.consultant.ru/link/?req=doc&amp;base=LAW&amp;n=211895&amp;date=16.12.2025" TargetMode = "External"/><Relationship Id="rId43" Type="http://schemas.openxmlformats.org/officeDocument/2006/relationships/hyperlink" Target="https://login.consultant.ru/link/?req=doc&amp;base=LAW&amp;n=493666&amp;date=16.12.2025" TargetMode = "External"/><Relationship Id="rId44" Type="http://schemas.openxmlformats.org/officeDocument/2006/relationships/hyperlink" Target="https://login.consultant.ru/link/?req=doc&amp;base=LAW&amp;n=493666&amp;date=16.12.2025&amp;dst=100030&amp;field=134" TargetMode = "External"/><Relationship Id="rId45" Type="http://schemas.openxmlformats.org/officeDocument/2006/relationships/hyperlink" Target="https://login.consultant.ru/link/?req=doc&amp;base=LAW&amp;n=482692&amp;date=16.12.2025&amp;dst=235&amp;field=134" TargetMode = "External"/><Relationship Id="rId46" Type="http://schemas.openxmlformats.org/officeDocument/2006/relationships/hyperlink" Target="https://login.consultant.ru/link/?req=doc&amp;base=ARB&amp;n=310845&amp;date=16.12.2025" TargetMode = "External"/><Relationship Id="rId47" Type="http://schemas.openxmlformats.org/officeDocument/2006/relationships/hyperlink" Target="https://login.consultant.ru/link/?req=doc&amp;base=LAW&amp;n=482692&amp;date=16.12.2025&amp;dst=229&amp;field=134" TargetMode = "External"/><Relationship Id="rId48" Type="http://schemas.openxmlformats.org/officeDocument/2006/relationships/hyperlink" Target="https://login.consultant.ru/link/?req=doc&amp;base=LAW&amp;n=482692&amp;date=16.12.2025&amp;dst=100061&amp;field=134" TargetMode = "External"/><Relationship Id="rId49" Type="http://schemas.openxmlformats.org/officeDocument/2006/relationships/hyperlink" Target="https://login.consultant.ru/link/?req=doc&amp;base=LAW&amp;n=502254&amp;date=16.12.2025&amp;dst=91&amp;field=134" TargetMode = "External"/><Relationship Id="rId50" Type="http://schemas.openxmlformats.org/officeDocument/2006/relationships/hyperlink" Target="https://login.consultant.ru/link/?req=doc&amp;base=LAW&amp;n=181602&amp;date=16.12.2025&amp;dst=100026&amp;field=134" TargetMode = "External"/><Relationship Id="rId51" Type="http://schemas.openxmlformats.org/officeDocument/2006/relationships/hyperlink" Target="https://login.consultant.ru/link/?req=doc&amp;base=LAW&amp;n=502254&amp;date=16.12.2025&amp;dst=101074&amp;field=134" TargetMode = "External"/><Relationship Id="rId52" Type="http://schemas.openxmlformats.org/officeDocument/2006/relationships/hyperlink" Target="https://login.consultant.ru/link/?req=doc&amp;base=LAW&amp;n=502254&amp;date=16.12.2025&amp;dst=100376&amp;field=134" TargetMode = "External"/><Relationship Id="rId53" Type="http://schemas.openxmlformats.org/officeDocument/2006/relationships/hyperlink" Target="https://login.consultant.ru/link/?req=doc&amp;base=LAW&amp;n=502254&amp;date=16.12.2025&amp;dst=92&amp;field=134" TargetMode = "External"/><Relationship Id="rId54" Type="http://schemas.openxmlformats.org/officeDocument/2006/relationships/hyperlink" Target="https://login.consultant.ru/link/?req=doc&amp;base=LAW&amp;n=404664&amp;date=16.12.2025&amp;dst=100133&amp;field=134" TargetMode = "External"/><Relationship Id="rId55" Type="http://schemas.openxmlformats.org/officeDocument/2006/relationships/hyperlink" Target="https://login.consultant.ru/link/?req=doc&amp;base=ARB&amp;n=448197&amp;date=16.12.2025" TargetMode = "External"/><Relationship Id="rId56" Type="http://schemas.openxmlformats.org/officeDocument/2006/relationships/hyperlink" Target="https://login.consultant.ru/link/?req=doc&amp;base=ARB&amp;n=454326&amp;date=16.12.2025" TargetMode = "External"/><Relationship Id="rId57" Type="http://schemas.openxmlformats.org/officeDocument/2006/relationships/hyperlink" Target="https://login.consultant.ru/link/?req=doc&amp;base=ARB&amp;n=551421&amp;date=16.12.2025" TargetMode = "External"/><Relationship Id="rId58" Type="http://schemas.openxmlformats.org/officeDocument/2006/relationships/hyperlink" Target="https://login.consultant.ru/link/?req=doc&amp;base=LAW&amp;n=502254&amp;date=16.12.2025&amp;dst=983&amp;field=134" TargetMode = "External"/><Relationship Id="rId59" Type="http://schemas.openxmlformats.org/officeDocument/2006/relationships/hyperlink" Target="https://login.consultant.ru/link/?req=doc&amp;base=LAW&amp;n=502254&amp;date=16.12.2025&amp;dst=100044&amp;field=134" TargetMode = "External"/><Relationship Id="rId60" Type="http://schemas.openxmlformats.org/officeDocument/2006/relationships/hyperlink" Target="https://login.consultant.ru/link/?req=doc&amp;base=LAW&amp;n=502254&amp;date=16.12.2025&amp;dst=100048&amp;field=134" TargetMode = "External"/><Relationship Id="rId61" Type="http://schemas.openxmlformats.org/officeDocument/2006/relationships/hyperlink" Target="https://login.consultant.ru/link/?req=doc&amp;base=LAW&amp;n=502254&amp;date=16.12.2025&amp;dst=100374&amp;field=134" TargetMode = "External"/><Relationship Id="rId62" Type="http://schemas.openxmlformats.org/officeDocument/2006/relationships/hyperlink" Target="https://login.consultant.ru/link/?req=doc&amp;base=LAW&amp;n=502254&amp;date=16.12.2025&amp;dst=101067&amp;field=134" TargetMode = "External"/><Relationship Id="rId63" Type="http://schemas.openxmlformats.org/officeDocument/2006/relationships/hyperlink" Target="https://login.consultant.ru/link/?req=doc&amp;base=LAW&amp;n=502254&amp;date=16.12.2025&amp;dst=101083&amp;field=134" TargetMode = "External"/><Relationship Id="rId64" Type="http://schemas.openxmlformats.org/officeDocument/2006/relationships/hyperlink" Target="https://login.consultant.ru/link/?req=doc&amp;base=LAW&amp;n=502254&amp;date=16.12.2025&amp;dst=101882&amp;field=134" TargetMode = "External"/><Relationship Id="rId65" Type="http://schemas.openxmlformats.org/officeDocument/2006/relationships/hyperlink" Target="https://login.consultant.ru/link/?req=doc&amp;base=LAW&amp;n=502254&amp;date=16.12.2025&amp;dst=101894&amp;field=134" TargetMode = "External"/><Relationship Id="rId66" Type="http://schemas.openxmlformats.org/officeDocument/2006/relationships/hyperlink" Target="https://login.consultant.ru/link/?req=doc&amp;base=ASCN&amp;n=2967617&amp;date=16.12.2025" TargetMode = "External"/><Relationship Id="rId67" Type="http://schemas.openxmlformats.org/officeDocument/2006/relationships/hyperlink" Target="https://login.consultant.ru/link/?req=doc&amp;base=RAPS020&amp;n=111011&amp;date=16.12.2025" TargetMode = "External"/><Relationship Id="rId68" Type="http://schemas.openxmlformats.org/officeDocument/2006/relationships/hyperlink" Target="https://login.consultant.ru/link/?req=doc&amp;base=LAW&amp;n=502254&amp;date=16.12.2025&amp;dst=101896&amp;field=134" TargetMode = "External"/><Relationship Id="rId69" Type="http://schemas.openxmlformats.org/officeDocument/2006/relationships/hyperlink" Target="https://login.consultant.ru/link/?req=doc&amp;base=LAW&amp;n=502254&amp;date=16.12.2025&amp;dst=101890&amp;field=134" TargetMode = "External"/><Relationship Id="rId70" Type="http://schemas.openxmlformats.org/officeDocument/2006/relationships/hyperlink" Target="https://login.consultant.ru/link/?req=doc&amp;base=LAW&amp;n=502254&amp;date=16.12.2025&amp;dst=101929&amp;field=134" TargetMode = "External"/><Relationship Id="rId71" Type="http://schemas.openxmlformats.org/officeDocument/2006/relationships/hyperlink" Target="https://login.consultant.ru/link/?req=doc&amp;base=LAW&amp;n=356424&amp;date=16.12.2025&amp;dst=100166&amp;field=134" TargetMode = "External"/><Relationship Id="rId72" Type="http://schemas.openxmlformats.org/officeDocument/2006/relationships/hyperlink" Target="https://login.consultant.ru/link/?req=doc&amp;base=LAW&amp;n=502254&amp;date=16.12.2025&amp;dst=100666&amp;field=134" TargetMode = "External"/><Relationship Id="rId73" Type="http://schemas.openxmlformats.org/officeDocument/2006/relationships/hyperlink" Target="https://login.consultant.ru/link/?req=doc&amp;base=LAW&amp;n=502254&amp;date=16.12.2025&amp;dst=101890&amp;field=134" TargetMode = "External"/><Relationship Id="rId74" Type="http://schemas.openxmlformats.org/officeDocument/2006/relationships/hyperlink" Target="https://login.consultant.ru/link/?req=doc&amp;base=LAW&amp;n=502254&amp;date=16.12.2025&amp;dst=1084&amp;field=134" TargetMode = "External"/><Relationship Id="rId75" Type="http://schemas.openxmlformats.org/officeDocument/2006/relationships/hyperlink" Target="https://login.consultant.ru/link/?req=doc&amp;base=LAW&amp;n=502254&amp;date=16.12.2025&amp;dst=101910&amp;field=134" TargetMode = "External"/><Relationship Id="rId76" Type="http://schemas.openxmlformats.org/officeDocument/2006/relationships/hyperlink" Target="https://login.consultant.ru/link/?req=doc&amp;base=ASCN&amp;n=2967617&amp;date=16.12.2025" TargetMode = "External"/><Relationship Id="rId77" Type="http://schemas.openxmlformats.org/officeDocument/2006/relationships/hyperlink" Target="https://login.consultant.ru/link/?req=doc&amp;base=RAPS020&amp;n=111011&amp;date=16.12.2025" TargetMode = "External"/><Relationship Id="rId78" Type="http://schemas.openxmlformats.org/officeDocument/2006/relationships/hyperlink" Target="https://login.consultant.ru/link/?req=doc&amp;base=LAW&amp;n=502254&amp;date=16.12.2025&amp;dst=1663&amp;field=134" TargetMode = "Externa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2.xml.rels>&#65279;<?xml version="1.0" encoding="UTF-8" standalone="yes"?>
<Relationships xmlns="http://schemas.openxmlformats.org/package/2006/relationships"><Relationship Id="rId1" Type="http://schemas.openxmlformats.org/officeDocument/2006/relationships/hyperlink" Target="https://www.consultant.ru" TargetMode = "External"/><Relationship Id="rId2" Type="http://schemas.openxmlformats.org/officeDocument/2006/relationships/image" Target="media/image1.png"/></Relationships>
</file>

<file path=docProps/app.xml><?xml version="1.0" encoding="utf-8"?>
<Properties xmlns="http://schemas.openxmlformats.org/officeDocument/2006/extended-properties" xmlns:vt="http://schemas.openxmlformats.org/officeDocument/2006/docPropsVTypes">
  <Application>КонсультантПлюс Версия 4025.00.30</Application>
  <Company>КонсультантПлюс Версия 4025.00.30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Арбитражного суда Центрального округа от 27.11.2025 N Ф10-2856/2025 по делу N А68-9338/2024
Требование: О взыскании дополнительных расходов по концессионному соглашению.
Обстоятельства: Истец указывает на наступление особого обстоятельства в рамках концессионного соглашения в отношении объектов теплоснабжения и горячего водоснабжения, а также отсутствие компенсации со стороны ответчика (концедента).
Решение: Дело направлено на новое рассмотрение, поскольку судами не была дана надлежащая квалиф</dc:title>
  <dcterms:created xsi:type="dcterms:W3CDTF">2025-12-16T04:28:15Z</dcterms:created>
</cp:coreProperties>
</file>